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9388E" w14:textId="77777777" w:rsidR="00C334EF" w:rsidRPr="00A05FFF" w:rsidRDefault="00C334EF" w:rsidP="00C334EF">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712B6B09" w14:textId="77777777" w:rsidR="00C334EF" w:rsidRPr="00A05FFF" w:rsidRDefault="00C334EF" w:rsidP="00C334EF">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C334EF" w:rsidRPr="00A05FFF" w14:paraId="495D4E1B" w14:textId="77777777" w:rsidTr="009D7E1B">
        <w:trPr>
          <w:trHeight w:val="1971"/>
        </w:trPr>
        <w:tc>
          <w:tcPr>
            <w:tcW w:w="4608" w:type="dxa"/>
          </w:tcPr>
          <w:p w14:paraId="29B6351A" w14:textId="77777777" w:rsidR="00C334EF" w:rsidRPr="00A05FFF" w:rsidRDefault="00C334EF" w:rsidP="009D7E1B">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 xml:space="preserve">Application of Nevada Special Utility District to Amend its </w:t>
            </w:r>
            <w:r>
              <w:rPr>
                <w:rFonts w:ascii="Times New Roman Bold" w:eastAsia="Times New Roman" w:hAnsi="Times New Roman Bold" w:cs="Times New Roman"/>
                <w:b/>
                <w:caps/>
                <w:sz w:val="24"/>
                <w:szCs w:val="20"/>
              </w:rPr>
              <w:t xml:space="preserve">WATER </w:t>
            </w:r>
            <w:r w:rsidRPr="00A05FFF">
              <w:rPr>
                <w:rFonts w:ascii="Times New Roman Bold" w:eastAsia="Times New Roman" w:hAnsi="Times New Roman Bold" w:cs="Times New Roman"/>
                <w:b/>
                <w:caps/>
                <w:sz w:val="24"/>
                <w:szCs w:val="20"/>
              </w:rPr>
              <w:t>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4E1FF199"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A845B8A"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2B898A0"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EC3DD48"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B0D04FA"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D84B1ED"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6AAB965"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E9751E6"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E2DC835"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D66896C"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1B2CAD9" w14:textId="77777777" w:rsidR="00C334EF" w:rsidRPr="00A05FFF" w:rsidRDefault="00C334EF" w:rsidP="009D7E1B">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731CE622" w14:textId="77777777" w:rsidR="00C334EF" w:rsidRPr="00A05FFF" w:rsidRDefault="00C334EF" w:rsidP="009D7E1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36B59792" w14:textId="77777777" w:rsidR="00C334EF" w:rsidRPr="00A05FFF" w:rsidRDefault="00C334EF" w:rsidP="009D7E1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F848132" w14:textId="77777777" w:rsidR="00C334EF" w:rsidRPr="00A05FFF" w:rsidRDefault="00C334EF" w:rsidP="009D7E1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1B8A2DDD" w14:textId="77777777" w:rsidR="00C334EF" w:rsidRPr="009A2156" w:rsidRDefault="00C334EF" w:rsidP="00C334EF">
      <w:pPr>
        <w:autoSpaceDE w:val="0"/>
        <w:autoSpaceDN w:val="0"/>
        <w:adjustRightInd w:val="0"/>
        <w:spacing w:after="0" w:line="240" w:lineRule="auto"/>
        <w:jc w:val="center"/>
        <w:rPr>
          <w:rFonts w:ascii="Times New Roman" w:eastAsia="Times New Roman" w:hAnsi="Times New Roman" w:cs="Times New Roman"/>
          <w:b/>
          <w:bCs/>
          <w:sz w:val="24"/>
          <w:szCs w:val="20"/>
        </w:rPr>
      </w:pPr>
    </w:p>
    <w:p w14:paraId="1F0E38C6" w14:textId="73FC40AD" w:rsidR="00C334EF" w:rsidRPr="009A2156" w:rsidRDefault="00C334EF" w:rsidP="00C334EF">
      <w:pPr>
        <w:autoSpaceDE w:val="0"/>
        <w:autoSpaceDN w:val="0"/>
        <w:adjustRightInd w:val="0"/>
        <w:spacing w:after="0" w:line="240" w:lineRule="auto"/>
        <w:jc w:val="center"/>
        <w:rPr>
          <w:rFonts w:ascii="Times New Roman" w:eastAsia="Times New Roman" w:hAnsi="Times New Roman" w:cs="Times New Roman"/>
          <w:b/>
          <w:bCs/>
          <w:sz w:val="24"/>
          <w:szCs w:val="20"/>
        </w:rPr>
      </w:pPr>
      <w:r w:rsidRPr="009A2156">
        <w:rPr>
          <w:rFonts w:ascii="Times New Roman" w:eastAsia="Times New Roman" w:hAnsi="Times New Roman" w:cs="Times New Roman"/>
          <w:b/>
          <w:bCs/>
          <w:sz w:val="24"/>
          <w:szCs w:val="20"/>
        </w:rPr>
        <w:t xml:space="preserve">COMMISSION STAFF’S </w:t>
      </w:r>
      <w:r>
        <w:rPr>
          <w:rFonts w:ascii="Times New Roman" w:eastAsia="Times New Roman" w:hAnsi="Times New Roman" w:cs="Times New Roman"/>
          <w:b/>
          <w:bCs/>
          <w:sz w:val="24"/>
          <w:szCs w:val="20"/>
        </w:rPr>
        <w:t>CLARIFICATION ON NAME CHANGE RECOMMENDATION</w:t>
      </w:r>
    </w:p>
    <w:p w14:paraId="7FA4D453" w14:textId="77777777" w:rsidR="00C334EF" w:rsidRPr="009A2156" w:rsidRDefault="00C334EF" w:rsidP="00C334EF">
      <w:pPr>
        <w:autoSpaceDE w:val="0"/>
        <w:autoSpaceDN w:val="0"/>
        <w:adjustRightInd w:val="0"/>
        <w:spacing w:after="0" w:line="240" w:lineRule="auto"/>
        <w:jc w:val="center"/>
        <w:rPr>
          <w:rFonts w:ascii="Times New Roman" w:eastAsia="Times New Roman" w:hAnsi="Times New Roman" w:cs="Times New Roman"/>
          <w:b/>
          <w:bCs/>
          <w:sz w:val="24"/>
          <w:szCs w:val="20"/>
        </w:rPr>
      </w:pPr>
    </w:p>
    <w:p w14:paraId="71727088" w14:textId="61170263" w:rsidR="00C334EF" w:rsidRPr="00A05FFF" w:rsidRDefault="00C334EF" w:rsidP="00C334EF">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ecessity (CCN)</w:t>
      </w:r>
      <w:r>
        <w:rPr>
          <w:rFonts w:ascii="Times New Roman" w:eastAsia="Times New Roman" w:hAnsi="Times New Roman" w:cs="Times New Roman"/>
          <w:sz w:val="24"/>
          <w:szCs w:val="24"/>
        </w:rPr>
        <w:t xml:space="preserve"> number</w:t>
      </w:r>
      <w:r w:rsidRPr="00A05FFF">
        <w:rPr>
          <w:rFonts w:ascii="Times New Roman" w:eastAsia="Times New Roman" w:hAnsi="Times New Roman" w:cs="Times New Roman"/>
          <w:sz w:val="24"/>
          <w:szCs w:val="24"/>
        </w:rPr>
        <w:t xml:space="preserve"> 12175 </w:t>
      </w:r>
      <w:r w:rsidRPr="00A05FFF">
        <w:rPr>
          <w:rFonts w:ascii="Times New Roman" w:eastAsia="Times New Roman" w:hAnsi="Times New Roman" w:cs="Times New Roman"/>
          <w:sz w:val="24"/>
          <w:szCs w:val="20"/>
        </w:rPr>
        <w:t xml:space="preserve">through the addition of service area, and to decertify portions of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certificated water service areas of Caddo Basin Special Utility District</w:t>
      </w:r>
      <w:r>
        <w:rPr>
          <w:rFonts w:ascii="Times New Roman" w:eastAsia="Times New Roman" w:hAnsi="Times New Roman" w:cs="Times New Roman"/>
          <w:sz w:val="24"/>
          <w:szCs w:val="20"/>
        </w:rPr>
        <w:t xml:space="preserve"> (Caddo Basin SUD)</w:t>
      </w:r>
      <w:r w:rsidRPr="00A05FFF">
        <w:rPr>
          <w:rFonts w:ascii="Times New Roman" w:eastAsia="Times New Roman" w:hAnsi="Times New Roman" w:cs="Times New Roman"/>
          <w:sz w:val="24"/>
          <w:szCs w:val="20"/>
        </w:rPr>
        <w:t>, Copeville Special Utility District</w:t>
      </w:r>
      <w:r>
        <w:rPr>
          <w:rFonts w:ascii="Times New Roman" w:eastAsia="Times New Roman" w:hAnsi="Times New Roman" w:cs="Times New Roman"/>
          <w:sz w:val="24"/>
          <w:szCs w:val="20"/>
        </w:rPr>
        <w:t xml:space="preserve"> (Copeville SUD)</w:t>
      </w:r>
      <w:r w:rsidRPr="00A05FFF">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City of Josephine in Collin County that will be added to Nevada SUD's existing service area. The requested service area consists of</w:t>
      </w:r>
      <w:r w:rsidR="0016133F">
        <w:rPr>
          <w:rFonts w:ascii="Times New Roman" w:eastAsia="Times New Roman" w:hAnsi="Times New Roman" w:cs="Times New Roman"/>
          <w:sz w:val="24"/>
          <w:szCs w:val="20"/>
        </w:rPr>
        <w:t xml:space="preserve"> approximately</w:t>
      </w:r>
      <w:r w:rsidRPr="00A05FFF">
        <w:rPr>
          <w:rFonts w:ascii="Times New Roman" w:eastAsia="Times New Roman" w:hAnsi="Times New Roman" w:cs="Times New Roman"/>
          <w:sz w:val="24"/>
          <w:szCs w:val="20"/>
        </w:rPr>
        <w:t xml:space="preserve"> 1,37</w:t>
      </w:r>
      <w:r w:rsidR="0016133F">
        <w:rPr>
          <w:rFonts w:ascii="Times New Roman" w:eastAsia="Times New Roman" w:hAnsi="Times New Roman" w:cs="Times New Roman"/>
          <w:sz w:val="24"/>
          <w:szCs w:val="20"/>
        </w:rPr>
        <w:t>8</w:t>
      </w:r>
      <w:r w:rsidRPr="00A05FFF">
        <w:rPr>
          <w:rFonts w:ascii="Times New Roman" w:eastAsia="Times New Roman" w:hAnsi="Times New Roman" w:cs="Times New Roman"/>
          <w:sz w:val="24"/>
          <w:szCs w:val="20"/>
        </w:rPr>
        <w:t xml:space="preserve">acres and 14 customer connections.  </w:t>
      </w:r>
      <w:r>
        <w:rPr>
          <w:rFonts w:ascii="Times New Roman" w:eastAsia="Times New Roman" w:hAnsi="Times New Roman" w:cs="Times New Roman"/>
          <w:sz w:val="24"/>
          <w:szCs w:val="20"/>
        </w:rPr>
        <w:t>Nevada SUD filed a request for a name change to reflect its conversion from a water supply corporation to a special utility district on March 2, 2021.</w:t>
      </w:r>
    </w:p>
    <w:p w14:paraId="4E53FF53" w14:textId="180BFDDF" w:rsidR="00C334EF" w:rsidRDefault="00C334EF" w:rsidP="00C334EF">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March 29</w:t>
      </w:r>
      <w:r w:rsidRPr="00A05FFF">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administrative law judge (ALJ) filed </w:t>
      </w:r>
      <w:r w:rsidRPr="00A05FFF">
        <w:rPr>
          <w:rFonts w:ascii="Times New Roman" w:eastAsia="Times New Roman" w:hAnsi="Times New Roman" w:cs="Times New Roman"/>
          <w:sz w:val="24"/>
          <w:szCs w:val="24"/>
        </w:rPr>
        <w:t xml:space="preserve">Order No. </w:t>
      </w:r>
      <w:r>
        <w:rPr>
          <w:rFonts w:ascii="Times New Roman" w:eastAsia="Times New Roman" w:hAnsi="Times New Roman" w:cs="Times New Roman"/>
          <w:sz w:val="24"/>
          <w:szCs w:val="24"/>
        </w:rPr>
        <w:t>13</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0"/>
        </w:rPr>
        <w:t xml:space="preserve">requiring the Staff (Staff) of the Public Utility Commission of Texas (Commission) to </w:t>
      </w:r>
      <w:r w:rsidRPr="00C334EF">
        <w:rPr>
          <w:rFonts w:ascii="Times New Roman" w:hAnsi="Times New Roman" w:cs="Times New Roman"/>
          <w:sz w:val="24"/>
          <w:szCs w:val="24"/>
        </w:rPr>
        <w:t>file comments addressing: (1) whether Nevada SUD's name change can be approved as part of this docket or if it must be approved in Docket No. 49548</w:t>
      </w:r>
      <w:r>
        <w:rPr>
          <w:rStyle w:val="FootnoteReference"/>
          <w:rFonts w:ascii="Times New Roman" w:hAnsi="Times New Roman" w:cs="Times New Roman"/>
          <w:sz w:val="24"/>
          <w:szCs w:val="24"/>
        </w:rPr>
        <w:footnoteReference w:id="1"/>
      </w:r>
      <w:r w:rsidRPr="00C334EF">
        <w:rPr>
          <w:rFonts w:ascii="Times New Roman" w:hAnsi="Times New Roman" w:cs="Times New Roman"/>
          <w:sz w:val="24"/>
          <w:szCs w:val="24"/>
        </w:rPr>
        <w:t xml:space="preserve"> and (2) whether notice of</w:t>
      </w:r>
      <w:r>
        <w:rPr>
          <w:rFonts w:ascii="Times New Roman" w:hAnsi="Times New Roman" w:cs="Times New Roman"/>
          <w:sz w:val="24"/>
          <w:szCs w:val="24"/>
        </w:rPr>
        <w:t xml:space="preserve"> </w:t>
      </w:r>
      <w:r w:rsidRPr="00C334EF">
        <w:rPr>
          <w:rFonts w:ascii="Times New Roman" w:hAnsi="Times New Roman" w:cs="Times New Roman"/>
          <w:sz w:val="24"/>
          <w:szCs w:val="24"/>
        </w:rPr>
        <w:t>this proceeding is sufficient notice of</w:t>
      </w:r>
      <w:r>
        <w:rPr>
          <w:rFonts w:ascii="Times New Roman" w:hAnsi="Times New Roman" w:cs="Times New Roman"/>
          <w:sz w:val="24"/>
          <w:szCs w:val="24"/>
        </w:rPr>
        <w:t xml:space="preserve"> </w:t>
      </w:r>
      <w:r w:rsidRPr="00C334EF">
        <w:rPr>
          <w:rFonts w:ascii="Times New Roman" w:hAnsi="Times New Roman" w:cs="Times New Roman"/>
          <w:sz w:val="24"/>
          <w:szCs w:val="24"/>
        </w:rPr>
        <w:t>Nevada SUD's conversion</w:t>
      </w:r>
      <w:r>
        <w:rPr>
          <w:rFonts w:ascii="Times New Roman" w:eastAsia="Times New Roman" w:hAnsi="Times New Roman" w:cs="Times New Roman"/>
          <w:sz w:val="24"/>
          <w:szCs w:val="20"/>
        </w:rPr>
        <w:t xml:space="preserve"> by April 16, 2021.</w:t>
      </w:r>
      <w:r w:rsidRPr="00A05FFF">
        <w:rPr>
          <w:rFonts w:ascii="Times New Roman" w:eastAsia="Times New Roman" w:hAnsi="Times New Roman" w:cs="Times New Roman"/>
          <w:sz w:val="24"/>
          <w:szCs w:val="20"/>
        </w:rPr>
        <w:t xml:space="preserve">  Therefore, this pleading is timely filed</w:t>
      </w:r>
      <w:r w:rsidRPr="00A05FFF">
        <w:rPr>
          <w:rFonts w:ascii="Times New Roman" w:eastAsia="Times New Roman" w:hAnsi="Times New Roman" w:cs="Times New Roman"/>
          <w:sz w:val="24"/>
          <w:szCs w:val="24"/>
        </w:rPr>
        <w:t>.</w:t>
      </w:r>
    </w:p>
    <w:p w14:paraId="0776FEFA" w14:textId="77777777" w:rsidR="00C334EF" w:rsidRPr="000258C0" w:rsidRDefault="00C334EF" w:rsidP="00C334EF">
      <w:pPr>
        <w:autoSpaceDE w:val="0"/>
        <w:autoSpaceDN w:val="0"/>
        <w:adjustRightInd w:val="0"/>
        <w:spacing w:after="0" w:line="360" w:lineRule="auto"/>
        <w:jc w:val="both"/>
        <w:rPr>
          <w:rFonts w:ascii="Times New Roman" w:eastAsia="Times New Roman" w:hAnsi="Times New Roman" w:cs="Times New Roman"/>
          <w:sz w:val="24"/>
          <w:szCs w:val="24"/>
        </w:rPr>
      </w:pPr>
    </w:p>
    <w:p w14:paraId="7B207EE7" w14:textId="13442DC8" w:rsidR="00C334EF" w:rsidRPr="00A05FFF" w:rsidRDefault="00C334EF" w:rsidP="00C334EF">
      <w:p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I.</w:t>
      </w:r>
      <w:r>
        <w:rPr>
          <w:rFonts w:ascii="Times New Roman" w:eastAsia="Times New Roman" w:hAnsi="Times New Roman" w:cs="Times New Roman"/>
          <w:b/>
          <w:sz w:val="24"/>
          <w:szCs w:val="20"/>
        </w:rPr>
        <w:tab/>
        <w:t>APPROVAL IN DOCKET NO. 49548</w:t>
      </w:r>
    </w:p>
    <w:p w14:paraId="3752C47F" w14:textId="6848CD50" w:rsidR="00C334EF" w:rsidRDefault="00C334EF" w:rsidP="004736E8">
      <w:pPr>
        <w:spacing w:after="0" w:line="36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0"/>
        </w:rPr>
        <w:t xml:space="preserve">Under 30 Texas Administrative Code (TAC) </w:t>
      </w:r>
      <w:bookmarkStart w:id="1" w:name="_Hlk57910207"/>
      <w:r w:rsidRPr="003E6B07">
        <w:rPr>
          <w:rFonts w:ascii="Times New Roman" w:hAnsi="Times New Roman" w:cs="Times New Roman"/>
          <w:sz w:val="24"/>
          <w:szCs w:val="24"/>
        </w:rPr>
        <w:t>§§</w:t>
      </w:r>
      <w:bookmarkEnd w:id="1"/>
      <w:r>
        <w:rPr>
          <w:rFonts w:ascii="Times New Roman" w:hAnsi="Times New Roman" w:cs="Times New Roman"/>
          <w:sz w:val="24"/>
          <w:szCs w:val="24"/>
        </w:rPr>
        <w:t xml:space="preserve"> </w:t>
      </w:r>
      <w:r w:rsidRPr="00E850D2">
        <w:rPr>
          <w:rFonts w:ascii="Times New Roman" w:hAnsi="Times New Roman" w:cs="Times New Roman"/>
          <w:sz w:val="24"/>
          <w:szCs w:val="24"/>
        </w:rPr>
        <w:t>293.11</w:t>
      </w:r>
      <w:r>
        <w:rPr>
          <w:rFonts w:ascii="Times New Roman" w:hAnsi="Times New Roman" w:cs="Times New Roman"/>
          <w:sz w:val="24"/>
          <w:szCs w:val="24"/>
        </w:rPr>
        <w:t xml:space="preserve">-12 the Texas Commission on Environmental Quality (TCEQ) has the authority to grant applications for conversion to a special utility district. Further, once TCEQ has granted an application for a conversion to a special utility </w:t>
      </w:r>
      <w:r>
        <w:rPr>
          <w:rFonts w:ascii="Times New Roman" w:hAnsi="Times New Roman" w:cs="Times New Roman"/>
          <w:sz w:val="24"/>
          <w:szCs w:val="24"/>
        </w:rPr>
        <w:lastRenderedPageBreak/>
        <w:t xml:space="preserve">district, the Commission has authority under Texas Water Code (TWC) § 13.041 to reflect that conversion on maps, tariffs, and certificates issued by the Commission. </w:t>
      </w:r>
      <w:r w:rsidR="00B6775F">
        <w:rPr>
          <w:rFonts w:ascii="Times New Roman" w:hAnsi="Times New Roman" w:cs="Times New Roman"/>
          <w:sz w:val="24"/>
          <w:szCs w:val="24"/>
        </w:rPr>
        <w:t xml:space="preserve">Staff is not aware of any Commission rule or statute that would require Staff to process a name change for an entity conversion approved by the TCEQ in a standalone docket, such as the application in Docket No. 49548. </w:t>
      </w:r>
      <w:r w:rsidR="0049338D">
        <w:rPr>
          <w:rFonts w:ascii="Times New Roman" w:hAnsi="Times New Roman" w:cs="Times New Roman"/>
          <w:sz w:val="24"/>
          <w:szCs w:val="24"/>
        </w:rPr>
        <w:t xml:space="preserve">Therefore, </w:t>
      </w:r>
      <w:r w:rsidR="00B6775F">
        <w:rPr>
          <w:rFonts w:ascii="Times New Roman" w:hAnsi="Times New Roman" w:cs="Times New Roman"/>
          <w:sz w:val="24"/>
          <w:szCs w:val="24"/>
        </w:rPr>
        <w:t>Staff</w:t>
      </w:r>
      <w:r w:rsidR="0049338D">
        <w:rPr>
          <w:rFonts w:ascii="Times New Roman" w:hAnsi="Times New Roman" w:cs="Times New Roman"/>
          <w:sz w:val="24"/>
          <w:szCs w:val="24"/>
        </w:rPr>
        <w:t>’s</w:t>
      </w:r>
      <w:r w:rsidR="00B6775F">
        <w:rPr>
          <w:rFonts w:ascii="Times New Roman" w:hAnsi="Times New Roman" w:cs="Times New Roman"/>
          <w:sz w:val="24"/>
          <w:szCs w:val="24"/>
        </w:rPr>
        <w:t xml:space="preserve"> </w:t>
      </w:r>
      <w:r w:rsidR="0049338D">
        <w:rPr>
          <w:rFonts w:ascii="Times New Roman" w:hAnsi="Times New Roman" w:cs="Times New Roman"/>
          <w:sz w:val="24"/>
          <w:szCs w:val="24"/>
        </w:rPr>
        <w:t xml:space="preserve">position is that </w:t>
      </w:r>
      <w:r w:rsidR="00B6775F">
        <w:rPr>
          <w:rFonts w:ascii="Times New Roman" w:hAnsi="Times New Roman" w:cs="Times New Roman"/>
          <w:sz w:val="24"/>
          <w:szCs w:val="24"/>
        </w:rPr>
        <w:t xml:space="preserve">the name change for </w:t>
      </w:r>
      <w:r w:rsidR="00D764F1">
        <w:rPr>
          <w:rFonts w:ascii="Times New Roman" w:hAnsi="Times New Roman" w:cs="Times New Roman"/>
          <w:sz w:val="24"/>
          <w:szCs w:val="24"/>
        </w:rPr>
        <w:t>Nevada SUD’s</w:t>
      </w:r>
      <w:r w:rsidR="00B6775F">
        <w:rPr>
          <w:rFonts w:ascii="Times New Roman" w:hAnsi="Times New Roman" w:cs="Times New Roman"/>
          <w:sz w:val="24"/>
          <w:szCs w:val="24"/>
        </w:rPr>
        <w:t xml:space="preserve"> TCEQ approved entity conversion</w:t>
      </w:r>
      <w:r w:rsidR="0049338D">
        <w:rPr>
          <w:rFonts w:ascii="Times New Roman" w:hAnsi="Times New Roman" w:cs="Times New Roman"/>
          <w:sz w:val="24"/>
          <w:szCs w:val="24"/>
        </w:rPr>
        <w:t xml:space="preserve"> </w:t>
      </w:r>
      <w:r w:rsidR="00D764F1">
        <w:rPr>
          <w:rFonts w:ascii="Times New Roman" w:hAnsi="Times New Roman" w:cs="Times New Roman"/>
          <w:sz w:val="24"/>
          <w:szCs w:val="24"/>
        </w:rPr>
        <w:t>can be processed in this proceeding</w:t>
      </w:r>
      <w:r w:rsidR="00B6775F">
        <w:rPr>
          <w:rFonts w:ascii="Times New Roman" w:hAnsi="Times New Roman" w:cs="Times New Roman"/>
          <w:sz w:val="24"/>
          <w:szCs w:val="24"/>
        </w:rPr>
        <w:t xml:space="preserve">. The </w:t>
      </w:r>
      <w:r w:rsidR="00BB0757">
        <w:rPr>
          <w:rFonts w:ascii="Times New Roman" w:hAnsi="Times New Roman" w:cs="Times New Roman"/>
          <w:sz w:val="24"/>
          <w:szCs w:val="24"/>
        </w:rPr>
        <w:t xml:space="preserve">processing of the </w:t>
      </w:r>
      <w:r w:rsidR="00B6775F">
        <w:rPr>
          <w:rFonts w:ascii="Times New Roman" w:hAnsi="Times New Roman" w:cs="Times New Roman"/>
          <w:sz w:val="24"/>
          <w:szCs w:val="24"/>
        </w:rPr>
        <w:t xml:space="preserve">name change at the Commission is a </w:t>
      </w:r>
      <w:r w:rsidR="0016133F">
        <w:rPr>
          <w:rFonts w:ascii="Times New Roman" w:hAnsi="Times New Roman" w:cs="Times New Roman"/>
          <w:sz w:val="24"/>
          <w:szCs w:val="24"/>
        </w:rPr>
        <w:t>simple process</w:t>
      </w:r>
      <w:r w:rsidR="00B6775F">
        <w:rPr>
          <w:rFonts w:ascii="Times New Roman" w:hAnsi="Times New Roman" w:cs="Times New Roman"/>
          <w:sz w:val="24"/>
          <w:szCs w:val="24"/>
        </w:rPr>
        <w:t xml:space="preserve"> to reflect on maps, tariffs, and certificates the entity conversion that has already been approved by the TCEQ and </w:t>
      </w:r>
      <w:r w:rsidR="006738D1">
        <w:rPr>
          <w:rFonts w:ascii="Times New Roman" w:hAnsi="Times New Roman" w:cs="Times New Roman"/>
          <w:sz w:val="24"/>
          <w:szCs w:val="24"/>
        </w:rPr>
        <w:t xml:space="preserve">processed under </w:t>
      </w:r>
      <w:r w:rsidR="006738D1">
        <w:rPr>
          <w:rFonts w:ascii="Times New Roman" w:eastAsia="Times New Roman" w:hAnsi="Times New Roman" w:cs="Times New Roman"/>
          <w:sz w:val="24"/>
          <w:szCs w:val="20"/>
        </w:rPr>
        <w:t xml:space="preserve">30 Texas TAC </w:t>
      </w:r>
      <w:r w:rsidR="006738D1" w:rsidRPr="003E6B07">
        <w:rPr>
          <w:rFonts w:ascii="Times New Roman" w:hAnsi="Times New Roman" w:cs="Times New Roman"/>
          <w:sz w:val="24"/>
          <w:szCs w:val="24"/>
        </w:rPr>
        <w:t>§§</w:t>
      </w:r>
      <w:r w:rsidR="006738D1">
        <w:rPr>
          <w:rFonts w:ascii="Times New Roman" w:hAnsi="Times New Roman" w:cs="Times New Roman"/>
          <w:sz w:val="24"/>
          <w:szCs w:val="24"/>
        </w:rPr>
        <w:t xml:space="preserve"> </w:t>
      </w:r>
      <w:r w:rsidR="006738D1" w:rsidRPr="00E850D2">
        <w:rPr>
          <w:rFonts w:ascii="Times New Roman" w:hAnsi="Times New Roman" w:cs="Times New Roman"/>
          <w:sz w:val="24"/>
          <w:szCs w:val="24"/>
        </w:rPr>
        <w:t>293.11</w:t>
      </w:r>
      <w:r w:rsidR="006738D1">
        <w:rPr>
          <w:rFonts w:ascii="Times New Roman" w:hAnsi="Times New Roman" w:cs="Times New Roman"/>
          <w:sz w:val="24"/>
          <w:szCs w:val="24"/>
        </w:rPr>
        <w:t xml:space="preserve">-12. Nevada SUD is </w:t>
      </w:r>
      <w:r w:rsidR="000F77E1">
        <w:rPr>
          <w:rFonts w:ascii="Times New Roman" w:hAnsi="Times New Roman" w:cs="Times New Roman"/>
          <w:sz w:val="24"/>
          <w:szCs w:val="24"/>
        </w:rPr>
        <w:t xml:space="preserve">already </w:t>
      </w:r>
      <w:r w:rsidR="007B6A0F">
        <w:rPr>
          <w:rFonts w:ascii="Times New Roman" w:hAnsi="Times New Roman" w:cs="Times New Roman"/>
          <w:sz w:val="24"/>
          <w:szCs w:val="24"/>
        </w:rPr>
        <w:t xml:space="preserve">an </w:t>
      </w:r>
      <w:r w:rsidR="006738D1">
        <w:rPr>
          <w:rFonts w:ascii="Times New Roman" w:hAnsi="Times New Roman" w:cs="Times New Roman"/>
          <w:sz w:val="24"/>
          <w:szCs w:val="24"/>
        </w:rPr>
        <w:t xml:space="preserve">approved </w:t>
      </w:r>
      <w:r w:rsidR="001D35A2">
        <w:rPr>
          <w:rFonts w:ascii="Times New Roman" w:hAnsi="Times New Roman" w:cs="Times New Roman"/>
          <w:sz w:val="24"/>
          <w:szCs w:val="24"/>
        </w:rPr>
        <w:t>s</w:t>
      </w:r>
      <w:r w:rsidR="006738D1">
        <w:rPr>
          <w:rFonts w:ascii="Times New Roman" w:hAnsi="Times New Roman" w:cs="Times New Roman"/>
          <w:sz w:val="24"/>
          <w:szCs w:val="24"/>
        </w:rPr>
        <w:t xml:space="preserve">pecial </w:t>
      </w:r>
      <w:r w:rsidR="001D35A2">
        <w:rPr>
          <w:rFonts w:ascii="Times New Roman" w:hAnsi="Times New Roman" w:cs="Times New Roman"/>
          <w:sz w:val="24"/>
          <w:szCs w:val="24"/>
        </w:rPr>
        <w:t>u</w:t>
      </w:r>
      <w:r w:rsidR="006738D1">
        <w:rPr>
          <w:rFonts w:ascii="Times New Roman" w:hAnsi="Times New Roman" w:cs="Times New Roman"/>
          <w:sz w:val="24"/>
          <w:szCs w:val="24"/>
        </w:rPr>
        <w:t xml:space="preserve">tility </w:t>
      </w:r>
      <w:r w:rsidR="001D35A2">
        <w:rPr>
          <w:rFonts w:ascii="Times New Roman" w:hAnsi="Times New Roman" w:cs="Times New Roman"/>
          <w:sz w:val="24"/>
          <w:szCs w:val="24"/>
        </w:rPr>
        <w:t>d</w:t>
      </w:r>
      <w:r w:rsidR="006738D1">
        <w:rPr>
          <w:rFonts w:ascii="Times New Roman" w:hAnsi="Times New Roman" w:cs="Times New Roman"/>
          <w:sz w:val="24"/>
          <w:szCs w:val="24"/>
        </w:rPr>
        <w:t>istrict in accordance with the TCEQ rules</w:t>
      </w:r>
      <w:r w:rsidR="00F03BB5">
        <w:rPr>
          <w:rFonts w:ascii="Times New Roman" w:hAnsi="Times New Roman" w:cs="Times New Roman"/>
          <w:sz w:val="24"/>
          <w:szCs w:val="24"/>
        </w:rPr>
        <w:t xml:space="preserve">, </w:t>
      </w:r>
      <w:r w:rsidR="000F77E1">
        <w:rPr>
          <w:rFonts w:ascii="Times New Roman" w:hAnsi="Times New Roman" w:cs="Times New Roman"/>
          <w:sz w:val="24"/>
          <w:szCs w:val="24"/>
        </w:rPr>
        <w:t>so reflecting</w:t>
      </w:r>
      <w:r w:rsidR="00F03BB5">
        <w:rPr>
          <w:rFonts w:ascii="Times New Roman" w:hAnsi="Times New Roman" w:cs="Times New Roman"/>
          <w:sz w:val="24"/>
          <w:szCs w:val="24"/>
        </w:rPr>
        <w:t xml:space="preserve"> that conversion on Commission issued maps, certificates, and tariffs</w:t>
      </w:r>
      <w:r w:rsidR="002B2022">
        <w:rPr>
          <w:rFonts w:ascii="Times New Roman" w:hAnsi="Times New Roman" w:cs="Times New Roman"/>
          <w:sz w:val="24"/>
          <w:szCs w:val="24"/>
        </w:rPr>
        <w:t>,</w:t>
      </w:r>
      <w:r w:rsidR="000F77E1">
        <w:rPr>
          <w:rFonts w:ascii="Times New Roman" w:hAnsi="Times New Roman" w:cs="Times New Roman"/>
          <w:sz w:val="24"/>
          <w:szCs w:val="24"/>
        </w:rPr>
        <w:t xml:space="preserve"> is all that remains necessary</w:t>
      </w:r>
      <w:r w:rsidR="00F03BB5">
        <w:rPr>
          <w:rFonts w:ascii="Times New Roman" w:hAnsi="Times New Roman" w:cs="Times New Roman"/>
          <w:sz w:val="24"/>
          <w:szCs w:val="24"/>
        </w:rPr>
        <w:t xml:space="preserve">. </w:t>
      </w:r>
      <w:r w:rsidR="000E3C89">
        <w:rPr>
          <w:rFonts w:ascii="Times New Roman" w:hAnsi="Times New Roman" w:cs="Times New Roman"/>
          <w:sz w:val="24"/>
          <w:szCs w:val="24"/>
        </w:rPr>
        <w:t xml:space="preserve">Staff argues that it would be in the interest of </w:t>
      </w:r>
      <w:r w:rsidR="002B2022">
        <w:rPr>
          <w:rFonts w:ascii="Times New Roman" w:hAnsi="Times New Roman" w:cs="Times New Roman"/>
          <w:sz w:val="24"/>
          <w:szCs w:val="24"/>
        </w:rPr>
        <w:t xml:space="preserve">administrative </w:t>
      </w:r>
      <w:r w:rsidR="000E3C89">
        <w:rPr>
          <w:rFonts w:ascii="Times New Roman" w:hAnsi="Times New Roman" w:cs="Times New Roman"/>
          <w:sz w:val="24"/>
          <w:szCs w:val="24"/>
        </w:rPr>
        <w:t xml:space="preserve">efficiency to process the name change </w:t>
      </w:r>
      <w:r w:rsidR="002B2022">
        <w:rPr>
          <w:rFonts w:ascii="Times New Roman" w:hAnsi="Times New Roman" w:cs="Times New Roman"/>
          <w:sz w:val="24"/>
          <w:szCs w:val="24"/>
        </w:rPr>
        <w:t>in this docket</w:t>
      </w:r>
      <w:r w:rsidR="00A56413">
        <w:rPr>
          <w:rFonts w:ascii="Times New Roman" w:hAnsi="Times New Roman" w:cs="Times New Roman"/>
          <w:sz w:val="24"/>
          <w:szCs w:val="24"/>
        </w:rPr>
        <w:t xml:space="preserve">. </w:t>
      </w:r>
      <w:r w:rsidR="000E3C89">
        <w:rPr>
          <w:rFonts w:ascii="Times New Roman" w:hAnsi="Times New Roman" w:cs="Times New Roman"/>
          <w:sz w:val="24"/>
          <w:szCs w:val="24"/>
        </w:rPr>
        <w:t xml:space="preserve">Staff and Nevada SUD </w:t>
      </w:r>
      <w:r w:rsidR="00DD1069">
        <w:rPr>
          <w:rFonts w:ascii="Times New Roman" w:hAnsi="Times New Roman" w:cs="Times New Roman"/>
          <w:sz w:val="24"/>
          <w:szCs w:val="24"/>
        </w:rPr>
        <w:t>would</w:t>
      </w:r>
      <w:r w:rsidR="000E3C89">
        <w:rPr>
          <w:rFonts w:ascii="Times New Roman" w:hAnsi="Times New Roman" w:cs="Times New Roman"/>
          <w:sz w:val="24"/>
          <w:szCs w:val="24"/>
        </w:rPr>
        <w:t xml:space="preserve"> </w:t>
      </w:r>
      <w:r w:rsidR="00A56413">
        <w:rPr>
          <w:rFonts w:ascii="Times New Roman" w:hAnsi="Times New Roman" w:cs="Times New Roman"/>
          <w:sz w:val="24"/>
          <w:szCs w:val="24"/>
        </w:rPr>
        <w:t xml:space="preserve">then </w:t>
      </w:r>
      <w:r w:rsidR="000E3C89">
        <w:rPr>
          <w:rFonts w:ascii="Times New Roman" w:hAnsi="Times New Roman" w:cs="Times New Roman"/>
          <w:sz w:val="24"/>
          <w:szCs w:val="24"/>
        </w:rPr>
        <w:t>file a joint motion to dismiss the application in Docket No. 49548. Otherwise</w:t>
      </w:r>
      <w:r w:rsidR="00DD1069">
        <w:rPr>
          <w:rFonts w:ascii="Times New Roman" w:hAnsi="Times New Roman" w:cs="Times New Roman"/>
          <w:sz w:val="24"/>
          <w:szCs w:val="24"/>
        </w:rPr>
        <w:t>,</w:t>
      </w:r>
      <w:r w:rsidR="000E3C89">
        <w:rPr>
          <w:rFonts w:ascii="Times New Roman" w:hAnsi="Times New Roman" w:cs="Times New Roman"/>
          <w:sz w:val="24"/>
          <w:szCs w:val="24"/>
        </w:rPr>
        <w:t xml:space="preserve"> this docket would need to be abated until</w:t>
      </w:r>
      <w:r w:rsidR="000E3C89" w:rsidRPr="000E3C89">
        <w:rPr>
          <w:rFonts w:ascii="Times New Roman" w:hAnsi="Times New Roman" w:cs="Times New Roman"/>
          <w:sz w:val="24"/>
          <w:szCs w:val="24"/>
        </w:rPr>
        <w:t xml:space="preserve"> </w:t>
      </w:r>
      <w:r w:rsidR="000E3C89">
        <w:rPr>
          <w:rFonts w:ascii="Times New Roman" w:hAnsi="Times New Roman" w:cs="Times New Roman"/>
          <w:sz w:val="24"/>
          <w:szCs w:val="24"/>
        </w:rPr>
        <w:t>Docket No. 49548 is resolved</w:t>
      </w:r>
      <w:r w:rsidR="00DD1069">
        <w:rPr>
          <w:rFonts w:ascii="Times New Roman" w:hAnsi="Times New Roman" w:cs="Times New Roman"/>
          <w:sz w:val="24"/>
          <w:szCs w:val="24"/>
        </w:rPr>
        <w:t>.</w:t>
      </w:r>
      <w:r w:rsidR="00245166">
        <w:rPr>
          <w:rFonts w:ascii="Times New Roman" w:hAnsi="Times New Roman" w:cs="Times New Roman"/>
          <w:sz w:val="24"/>
          <w:szCs w:val="24"/>
        </w:rPr>
        <w:t xml:space="preserve"> </w:t>
      </w:r>
      <w:r w:rsidR="00DD1069">
        <w:rPr>
          <w:rFonts w:ascii="Times New Roman" w:hAnsi="Times New Roman" w:cs="Times New Roman"/>
          <w:sz w:val="24"/>
          <w:szCs w:val="24"/>
        </w:rPr>
        <w:t>Given how close this docket is to</w:t>
      </w:r>
      <w:r w:rsidR="008E5591">
        <w:rPr>
          <w:rFonts w:ascii="Times New Roman" w:hAnsi="Times New Roman" w:cs="Times New Roman"/>
          <w:sz w:val="24"/>
          <w:szCs w:val="24"/>
        </w:rPr>
        <w:t xml:space="preserve"> completion</w:t>
      </w:r>
      <w:r w:rsidR="00DD1069">
        <w:rPr>
          <w:rFonts w:ascii="Times New Roman" w:hAnsi="Times New Roman" w:cs="Times New Roman"/>
          <w:sz w:val="24"/>
          <w:szCs w:val="24"/>
        </w:rPr>
        <w:t xml:space="preserve">, it seems logical </w:t>
      </w:r>
      <w:r w:rsidR="00F351CA">
        <w:rPr>
          <w:rFonts w:ascii="Times New Roman" w:hAnsi="Times New Roman" w:cs="Times New Roman"/>
          <w:sz w:val="24"/>
          <w:szCs w:val="24"/>
        </w:rPr>
        <w:t xml:space="preserve">to avoid an abatement </w:t>
      </w:r>
      <w:r w:rsidR="00727265">
        <w:rPr>
          <w:rFonts w:ascii="Times New Roman" w:hAnsi="Times New Roman" w:cs="Times New Roman"/>
          <w:sz w:val="24"/>
          <w:szCs w:val="24"/>
        </w:rPr>
        <w:t xml:space="preserve">and </w:t>
      </w:r>
      <w:r w:rsidR="00F351CA">
        <w:rPr>
          <w:rFonts w:ascii="Times New Roman" w:hAnsi="Times New Roman" w:cs="Times New Roman"/>
          <w:sz w:val="24"/>
          <w:szCs w:val="24"/>
        </w:rPr>
        <w:t xml:space="preserve">proceed with the name change in </w:t>
      </w:r>
      <w:r w:rsidR="00727265">
        <w:rPr>
          <w:rFonts w:ascii="Times New Roman" w:hAnsi="Times New Roman" w:cs="Times New Roman"/>
          <w:sz w:val="24"/>
          <w:szCs w:val="24"/>
        </w:rPr>
        <w:t xml:space="preserve">this </w:t>
      </w:r>
      <w:r w:rsidR="008E5591">
        <w:rPr>
          <w:rFonts w:ascii="Times New Roman" w:hAnsi="Times New Roman" w:cs="Times New Roman"/>
          <w:sz w:val="24"/>
          <w:szCs w:val="24"/>
        </w:rPr>
        <w:t>docket</w:t>
      </w:r>
      <w:r w:rsidR="00F351CA">
        <w:rPr>
          <w:rFonts w:ascii="Times New Roman" w:hAnsi="Times New Roman" w:cs="Times New Roman"/>
          <w:sz w:val="24"/>
          <w:szCs w:val="24"/>
        </w:rPr>
        <w:t>.</w:t>
      </w:r>
      <w:r w:rsidR="000E3C89">
        <w:rPr>
          <w:rFonts w:ascii="Times New Roman" w:hAnsi="Times New Roman" w:cs="Times New Roman"/>
          <w:sz w:val="24"/>
          <w:szCs w:val="24"/>
        </w:rPr>
        <w:t xml:space="preserve"> </w:t>
      </w:r>
      <w:r w:rsidR="002B74EA">
        <w:rPr>
          <w:rFonts w:ascii="Times New Roman" w:hAnsi="Times New Roman" w:cs="Times New Roman"/>
          <w:sz w:val="24"/>
          <w:szCs w:val="24"/>
        </w:rPr>
        <w:t>Th</w:t>
      </w:r>
      <w:r w:rsidR="008E5591">
        <w:rPr>
          <w:rFonts w:ascii="Times New Roman" w:hAnsi="Times New Roman" w:cs="Times New Roman"/>
          <w:sz w:val="24"/>
          <w:szCs w:val="24"/>
        </w:rPr>
        <w:t>erefore</w:t>
      </w:r>
      <w:r w:rsidR="002B74EA">
        <w:rPr>
          <w:rFonts w:ascii="Times New Roman" w:hAnsi="Times New Roman" w:cs="Times New Roman"/>
          <w:sz w:val="24"/>
          <w:szCs w:val="24"/>
        </w:rPr>
        <w:t xml:space="preserve">, Staff </w:t>
      </w:r>
      <w:r w:rsidR="008E5591">
        <w:rPr>
          <w:rFonts w:ascii="Times New Roman" w:hAnsi="Times New Roman" w:cs="Times New Roman"/>
          <w:sz w:val="24"/>
          <w:szCs w:val="24"/>
        </w:rPr>
        <w:t>recommends</w:t>
      </w:r>
      <w:r w:rsidR="003630BF">
        <w:rPr>
          <w:rFonts w:ascii="Times New Roman" w:hAnsi="Times New Roman" w:cs="Times New Roman"/>
          <w:sz w:val="24"/>
          <w:szCs w:val="24"/>
        </w:rPr>
        <w:t xml:space="preserve"> that </w:t>
      </w:r>
      <w:r w:rsidR="002B74EA">
        <w:rPr>
          <w:rFonts w:ascii="Times New Roman" w:hAnsi="Times New Roman" w:cs="Times New Roman"/>
          <w:sz w:val="24"/>
          <w:szCs w:val="24"/>
        </w:rPr>
        <w:t>it is appropriate</w:t>
      </w:r>
      <w:r w:rsidR="00954E8F">
        <w:rPr>
          <w:rFonts w:ascii="Times New Roman" w:hAnsi="Times New Roman" w:cs="Times New Roman"/>
          <w:sz w:val="24"/>
          <w:szCs w:val="24"/>
        </w:rPr>
        <w:t xml:space="preserve"> to</w:t>
      </w:r>
      <w:r w:rsidR="002F6147" w:rsidRPr="002F6147">
        <w:rPr>
          <w:rFonts w:ascii="Times New Roman" w:hAnsi="Times New Roman" w:cs="Times New Roman"/>
          <w:sz w:val="24"/>
          <w:szCs w:val="24"/>
        </w:rPr>
        <w:t xml:space="preserve"> </w:t>
      </w:r>
      <w:r w:rsidR="002F6147">
        <w:rPr>
          <w:rFonts w:ascii="Times New Roman" w:hAnsi="Times New Roman" w:cs="Times New Roman"/>
          <w:sz w:val="24"/>
          <w:szCs w:val="24"/>
        </w:rPr>
        <w:t xml:space="preserve">proceed </w:t>
      </w:r>
      <w:r w:rsidR="00954E8F">
        <w:rPr>
          <w:rFonts w:ascii="Times New Roman" w:hAnsi="Times New Roman" w:cs="Times New Roman"/>
          <w:sz w:val="24"/>
          <w:szCs w:val="24"/>
        </w:rPr>
        <w:t xml:space="preserve">with </w:t>
      </w:r>
      <w:r w:rsidR="00727265">
        <w:rPr>
          <w:rFonts w:ascii="Times New Roman" w:hAnsi="Times New Roman" w:cs="Times New Roman"/>
          <w:sz w:val="24"/>
          <w:szCs w:val="24"/>
        </w:rPr>
        <w:t xml:space="preserve">Nevada SUD’s </w:t>
      </w:r>
      <w:r w:rsidR="00D919A7">
        <w:rPr>
          <w:rFonts w:ascii="Times New Roman" w:hAnsi="Times New Roman" w:cs="Times New Roman"/>
          <w:sz w:val="24"/>
          <w:szCs w:val="24"/>
        </w:rPr>
        <w:t xml:space="preserve">name change based on a </w:t>
      </w:r>
      <w:r w:rsidR="00727265">
        <w:rPr>
          <w:rFonts w:ascii="Times New Roman" w:hAnsi="Times New Roman" w:cs="Times New Roman"/>
          <w:sz w:val="24"/>
          <w:szCs w:val="24"/>
        </w:rPr>
        <w:t>TCEQ</w:t>
      </w:r>
      <w:r w:rsidR="00D919A7">
        <w:rPr>
          <w:rFonts w:ascii="Times New Roman" w:hAnsi="Times New Roman" w:cs="Times New Roman"/>
          <w:sz w:val="24"/>
          <w:szCs w:val="24"/>
        </w:rPr>
        <w:t>-</w:t>
      </w:r>
      <w:r w:rsidR="00727265">
        <w:rPr>
          <w:rFonts w:ascii="Times New Roman" w:hAnsi="Times New Roman" w:cs="Times New Roman"/>
          <w:sz w:val="24"/>
          <w:szCs w:val="24"/>
        </w:rPr>
        <w:t xml:space="preserve">approved </w:t>
      </w:r>
      <w:r w:rsidR="00D919A7" w:rsidRPr="00D919A7">
        <w:rPr>
          <w:rFonts w:ascii="Times New Roman" w:hAnsi="Times New Roman" w:cs="Times New Roman"/>
          <w:sz w:val="24"/>
          <w:szCs w:val="24"/>
        </w:rPr>
        <w:t xml:space="preserve">entity conversion </w:t>
      </w:r>
      <w:r w:rsidR="002B74EA">
        <w:rPr>
          <w:rFonts w:ascii="Times New Roman" w:hAnsi="Times New Roman" w:cs="Times New Roman"/>
          <w:sz w:val="24"/>
          <w:szCs w:val="24"/>
        </w:rPr>
        <w:t>in this docket</w:t>
      </w:r>
      <w:r w:rsidR="00245166">
        <w:rPr>
          <w:rFonts w:ascii="Times New Roman" w:hAnsi="Times New Roman" w:cs="Times New Roman"/>
          <w:sz w:val="24"/>
          <w:szCs w:val="24"/>
        </w:rPr>
        <w:t>.</w:t>
      </w:r>
      <w:r w:rsidR="002B74EA">
        <w:rPr>
          <w:rFonts w:ascii="Times New Roman" w:hAnsi="Times New Roman" w:cs="Times New Roman"/>
          <w:sz w:val="24"/>
          <w:szCs w:val="24"/>
        </w:rPr>
        <w:t xml:space="preserve"> </w:t>
      </w:r>
    </w:p>
    <w:p w14:paraId="6B02B1C8" w14:textId="77777777" w:rsidR="00031EB8" w:rsidRPr="004736E8" w:rsidRDefault="00031EB8" w:rsidP="004736E8">
      <w:pPr>
        <w:spacing w:after="0" w:line="360" w:lineRule="auto"/>
        <w:ind w:firstLine="720"/>
        <w:jc w:val="both"/>
        <w:rPr>
          <w:rFonts w:ascii="Times New Roman" w:hAnsi="Times New Roman" w:cs="Times New Roman"/>
          <w:sz w:val="24"/>
          <w:szCs w:val="24"/>
        </w:rPr>
      </w:pPr>
    </w:p>
    <w:p w14:paraId="629DDC00" w14:textId="05B251D6" w:rsidR="004736E8" w:rsidRDefault="004736E8" w:rsidP="00C334EF">
      <w:pPr>
        <w:keepNext/>
        <w:numPr>
          <w:ilvl w:val="0"/>
          <w:numId w:val="1"/>
        </w:numPr>
        <w:autoSpaceDN w:val="0"/>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SUFFICIENT NOTICE</w:t>
      </w:r>
    </w:p>
    <w:p w14:paraId="24FA29FA" w14:textId="0D80A1FB" w:rsidR="004736E8" w:rsidRDefault="000E3C89" w:rsidP="00031EB8">
      <w:pPr>
        <w:keepNext/>
        <w:autoSpaceDN w:val="0"/>
        <w:spacing w:after="0" w:line="360" w:lineRule="auto"/>
        <w:ind w:firstLine="720"/>
        <w:contextualSpacing/>
        <w:jc w:val="both"/>
        <w:rPr>
          <w:rFonts w:ascii="Times New Roman" w:hAnsi="Times New Roman" w:cs="Times New Roman"/>
          <w:sz w:val="24"/>
          <w:szCs w:val="24"/>
        </w:rPr>
      </w:pPr>
      <w:r>
        <w:rPr>
          <w:rFonts w:ascii="Times New Roman" w:eastAsia="Times New Roman" w:hAnsi="Times New Roman" w:cs="Times New Roman"/>
          <w:bCs/>
          <w:sz w:val="24"/>
          <w:szCs w:val="20"/>
        </w:rPr>
        <w:t xml:space="preserve">Under 30 </w:t>
      </w:r>
      <w:r>
        <w:rPr>
          <w:rFonts w:ascii="Times New Roman" w:eastAsia="Times New Roman" w:hAnsi="Times New Roman" w:cs="Times New Roman"/>
          <w:sz w:val="24"/>
          <w:szCs w:val="20"/>
        </w:rPr>
        <w:t xml:space="preserve">TAC </w:t>
      </w:r>
      <w:r w:rsidRPr="003E6B07">
        <w:rPr>
          <w:rFonts w:ascii="Times New Roman" w:hAnsi="Times New Roman" w:cs="Times New Roman"/>
          <w:sz w:val="24"/>
          <w:szCs w:val="24"/>
        </w:rPr>
        <w:t>§</w:t>
      </w:r>
      <w:r>
        <w:rPr>
          <w:rFonts w:ascii="Times New Roman" w:hAnsi="Times New Roman" w:cs="Times New Roman"/>
          <w:sz w:val="24"/>
          <w:szCs w:val="24"/>
        </w:rPr>
        <w:t xml:space="preserve"> </w:t>
      </w:r>
      <w:r w:rsidRPr="00E850D2">
        <w:rPr>
          <w:rFonts w:ascii="Times New Roman" w:hAnsi="Times New Roman" w:cs="Times New Roman"/>
          <w:sz w:val="24"/>
          <w:szCs w:val="24"/>
        </w:rPr>
        <w:t>293.</w:t>
      </w:r>
      <w:r>
        <w:rPr>
          <w:rFonts w:ascii="Times New Roman" w:hAnsi="Times New Roman" w:cs="Times New Roman"/>
          <w:sz w:val="24"/>
          <w:szCs w:val="24"/>
        </w:rPr>
        <w:t>12 an applica</w:t>
      </w:r>
      <w:r w:rsidR="00031EB8">
        <w:rPr>
          <w:rFonts w:ascii="Times New Roman" w:hAnsi="Times New Roman" w:cs="Times New Roman"/>
          <w:sz w:val="24"/>
          <w:szCs w:val="24"/>
        </w:rPr>
        <w:t>nt</w:t>
      </w:r>
      <w:r>
        <w:rPr>
          <w:rFonts w:ascii="Times New Roman" w:hAnsi="Times New Roman" w:cs="Times New Roman"/>
          <w:sz w:val="24"/>
          <w:szCs w:val="24"/>
        </w:rPr>
        <w:t xml:space="preserve"> for an entity conversion from a </w:t>
      </w:r>
      <w:r w:rsidR="001D35A2">
        <w:rPr>
          <w:rFonts w:ascii="Times New Roman" w:hAnsi="Times New Roman" w:cs="Times New Roman"/>
          <w:sz w:val="24"/>
          <w:szCs w:val="24"/>
        </w:rPr>
        <w:t>w</w:t>
      </w:r>
      <w:r>
        <w:rPr>
          <w:rFonts w:ascii="Times New Roman" w:hAnsi="Times New Roman" w:cs="Times New Roman"/>
          <w:sz w:val="24"/>
          <w:szCs w:val="24"/>
        </w:rPr>
        <w:t xml:space="preserve">ater </w:t>
      </w:r>
      <w:r w:rsidR="001D35A2">
        <w:rPr>
          <w:rFonts w:ascii="Times New Roman" w:hAnsi="Times New Roman" w:cs="Times New Roman"/>
          <w:sz w:val="24"/>
          <w:szCs w:val="24"/>
        </w:rPr>
        <w:t>s</w:t>
      </w:r>
      <w:r>
        <w:rPr>
          <w:rFonts w:ascii="Times New Roman" w:hAnsi="Times New Roman" w:cs="Times New Roman"/>
          <w:sz w:val="24"/>
          <w:szCs w:val="24"/>
        </w:rPr>
        <w:t xml:space="preserve">upply </w:t>
      </w:r>
      <w:r w:rsidR="001D35A2">
        <w:rPr>
          <w:rFonts w:ascii="Times New Roman" w:hAnsi="Times New Roman" w:cs="Times New Roman"/>
          <w:sz w:val="24"/>
          <w:szCs w:val="24"/>
        </w:rPr>
        <w:t>c</w:t>
      </w:r>
      <w:r>
        <w:rPr>
          <w:rFonts w:ascii="Times New Roman" w:hAnsi="Times New Roman" w:cs="Times New Roman"/>
          <w:sz w:val="24"/>
          <w:szCs w:val="24"/>
        </w:rPr>
        <w:t xml:space="preserve">orporation to a </w:t>
      </w:r>
      <w:r w:rsidR="001D35A2">
        <w:rPr>
          <w:rFonts w:ascii="Times New Roman" w:hAnsi="Times New Roman" w:cs="Times New Roman"/>
          <w:sz w:val="24"/>
          <w:szCs w:val="24"/>
        </w:rPr>
        <w:t>s</w:t>
      </w:r>
      <w:r>
        <w:rPr>
          <w:rFonts w:ascii="Times New Roman" w:hAnsi="Times New Roman" w:cs="Times New Roman"/>
          <w:sz w:val="24"/>
          <w:szCs w:val="24"/>
        </w:rPr>
        <w:t xml:space="preserve">pecial </w:t>
      </w:r>
      <w:r w:rsidR="001D35A2">
        <w:rPr>
          <w:rFonts w:ascii="Times New Roman" w:hAnsi="Times New Roman" w:cs="Times New Roman"/>
          <w:sz w:val="24"/>
          <w:szCs w:val="24"/>
        </w:rPr>
        <w:t>u</w:t>
      </w:r>
      <w:r>
        <w:rPr>
          <w:rFonts w:ascii="Times New Roman" w:hAnsi="Times New Roman" w:cs="Times New Roman"/>
          <w:sz w:val="24"/>
          <w:szCs w:val="24"/>
        </w:rPr>
        <w:t xml:space="preserve">tility </w:t>
      </w:r>
      <w:r w:rsidR="001D35A2">
        <w:rPr>
          <w:rFonts w:ascii="Times New Roman" w:hAnsi="Times New Roman" w:cs="Times New Roman"/>
          <w:sz w:val="24"/>
          <w:szCs w:val="24"/>
        </w:rPr>
        <w:t>d</w:t>
      </w:r>
      <w:r>
        <w:rPr>
          <w:rFonts w:ascii="Times New Roman" w:hAnsi="Times New Roman" w:cs="Times New Roman"/>
          <w:sz w:val="24"/>
          <w:szCs w:val="24"/>
        </w:rPr>
        <w:t xml:space="preserve">istrict </w:t>
      </w:r>
      <w:r w:rsidR="00031EB8">
        <w:rPr>
          <w:rFonts w:ascii="Times New Roman" w:hAnsi="Times New Roman" w:cs="Times New Roman"/>
          <w:sz w:val="24"/>
          <w:szCs w:val="24"/>
        </w:rPr>
        <w:t xml:space="preserve">at the TCEQ must provide extensive notice to </w:t>
      </w:r>
      <w:r w:rsidR="00D919A7">
        <w:rPr>
          <w:rFonts w:ascii="Times New Roman" w:hAnsi="Times New Roman" w:cs="Times New Roman"/>
          <w:sz w:val="24"/>
          <w:szCs w:val="24"/>
        </w:rPr>
        <w:t>a</w:t>
      </w:r>
      <w:r w:rsidR="00031EB8">
        <w:rPr>
          <w:rFonts w:ascii="Times New Roman" w:hAnsi="Times New Roman" w:cs="Times New Roman"/>
          <w:sz w:val="24"/>
          <w:szCs w:val="24"/>
        </w:rPr>
        <w:t xml:space="preserve">ffected parties. Under </w:t>
      </w:r>
      <w:r w:rsidR="00031EB8">
        <w:rPr>
          <w:rFonts w:ascii="Times New Roman" w:eastAsia="Times New Roman" w:hAnsi="Times New Roman" w:cs="Times New Roman"/>
          <w:bCs/>
          <w:sz w:val="24"/>
          <w:szCs w:val="20"/>
        </w:rPr>
        <w:t xml:space="preserve">30 </w:t>
      </w:r>
      <w:r w:rsidR="00031EB8">
        <w:rPr>
          <w:rFonts w:ascii="Times New Roman" w:eastAsia="Times New Roman" w:hAnsi="Times New Roman" w:cs="Times New Roman"/>
          <w:sz w:val="24"/>
          <w:szCs w:val="20"/>
        </w:rPr>
        <w:t xml:space="preserve">TAC </w:t>
      </w:r>
      <w:r w:rsidR="00031EB8" w:rsidRPr="003E6B07">
        <w:rPr>
          <w:rFonts w:ascii="Times New Roman" w:hAnsi="Times New Roman" w:cs="Times New Roman"/>
          <w:sz w:val="24"/>
          <w:szCs w:val="24"/>
        </w:rPr>
        <w:t>§</w:t>
      </w:r>
      <w:r w:rsidR="00031EB8">
        <w:rPr>
          <w:rFonts w:ascii="Times New Roman" w:hAnsi="Times New Roman" w:cs="Times New Roman"/>
          <w:sz w:val="24"/>
          <w:szCs w:val="24"/>
        </w:rPr>
        <w:t xml:space="preserve"> </w:t>
      </w:r>
      <w:r w:rsidR="00031EB8" w:rsidRPr="00E850D2">
        <w:rPr>
          <w:rFonts w:ascii="Times New Roman" w:hAnsi="Times New Roman" w:cs="Times New Roman"/>
          <w:sz w:val="24"/>
          <w:szCs w:val="24"/>
        </w:rPr>
        <w:t>293.</w:t>
      </w:r>
      <w:r w:rsidR="00031EB8">
        <w:rPr>
          <w:rFonts w:ascii="Times New Roman" w:hAnsi="Times New Roman" w:cs="Times New Roman"/>
          <w:sz w:val="24"/>
          <w:szCs w:val="24"/>
        </w:rPr>
        <w:t xml:space="preserve">12(b) “the </w:t>
      </w:r>
      <w:r w:rsidR="00031EB8" w:rsidRPr="00031EB8">
        <w:rPr>
          <w:rFonts w:ascii="Times New Roman" w:hAnsi="Times New Roman" w:cs="Times New Roman"/>
          <w:sz w:val="24"/>
          <w:szCs w:val="24"/>
        </w:rPr>
        <w:t xml:space="preserve">chief clerk shall send a copy of </w:t>
      </w:r>
      <w:r w:rsidR="00287A47">
        <w:rPr>
          <w:rFonts w:ascii="Times New Roman" w:hAnsi="Times New Roman" w:cs="Times New Roman"/>
          <w:sz w:val="24"/>
          <w:szCs w:val="24"/>
        </w:rPr>
        <w:t>the</w:t>
      </w:r>
      <w:r w:rsidR="00031EB8" w:rsidRPr="00031EB8">
        <w:rPr>
          <w:rFonts w:ascii="Times New Roman" w:hAnsi="Times New Roman" w:cs="Times New Roman"/>
          <w:sz w:val="24"/>
          <w:szCs w:val="24"/>
        </w:rPr>
        <w:t xml:space="preserve"> notice to the applicant indicating that an application has been received and notifying interested persons of the procedures for requesting a public hearing</w:t>
      </w:r>
      <w:r w:rsidR="00031EB8">
        <w:rPr>
          <w:rFonts w:ascii="Times New Roman" w:hAnsi="Times New Roman" w:cs="Times New Roman"/>
          <w:sz w:val="24"/>
          <w:szCs w:val="24"/>
        </w:rPr>
        <w:t xml:space="preserve">.” Further, under </w:t>
      </w:r>
      <w:r w:rsidR="00031EB8">
        <w:rPr>
          <w:rFonts w:ascii="Times New Roman" w:eastAsia="Times New Roman" w:hAnsi="Times New Roman" w:cs="Times New Roman"/>
          <w:bCs/>
          <w:sz w:val="24"/>
          <w:szCs w:val="20"/>
        </w:rPr>
        <w:t xml:space="preserve">30 </w:t>
      </w:r>
      <w:r w:rsidR="00031EB8">
        <w:rPr>
          <w:rFonts w:ascii="Times New Roman" w:eastAsia="Times New Roman" w:hAnsi="Times New Roman" w:cs="Times New Roman"/>
          <w:sz w:val="24"/>
          <w:szCs w:val="20"/>
        </w:rPr>
        <w:t xml:space="preserve">TAC </w:t>
      </w:r>
      <w:r w:rsidR="00031EB8" w:rsidRPr="003E6B07">
        <w:rPr>
          <w:rFonts w:ascii="Times New Roman" w:hAnsi="Times New Roman" w:cs="Times New Roman"/>
          <w:sz w:val="24"/>
          <w:szCs w:val="24"/>
        </w:rPr>
        <w:t>§</w:t>
      </w:r>
      <w:r w:rsidR="00031EB8">
        <w:rPr>
          <w:rFonts w:ascii="Times New Roman" w:hAnsi="Times New Roman" w:cs="Times New Roman"/>
          <w:sz w:val="24"/>
          <w:szCs w:val="24"/>
        </w:rPr>
        <w:t xml:space="preserve"> </w:t>
      </w:r>
      <w:r w:rsidR="00031EB8" w:rsidRPr="00E850D2">
        <w:rPr>
          <w:rFonts w:ascii="Times New Roman" w:hAnsi="Times New Roman" w:cs="Times New Roman"/>
          <w:sz w:val="24"/>
          <w:szCs w:val="24"/>
        </w:rPr>
        <w:t>293.</w:t>
      </w:r>
      <w:r w:rsidR="00031EB8">
        <w:rPr>
          <w:rFonts w:ascii="Times New Roman" w:hAnsi="Times New Roman" w:cs="Times New Roman"/>
          <w:sz w:val="24"/>
          <w:szCs w:val="24"/>
        </w:rPr>
        <w:t>12(b)(1) “</w:t>
      </w:r>
      <w:r w:rsidR="00031EB8" w:rsidRPr="00031EB8">
        <w:rPr>
          <w:rFonts w:ascii="Times New Roman" w:hAnsi="Times New Roman" w:cs="Times New Roman"/>
          <w:sz w:val="24"/>
          <w:szCs w:val="24"/>
        </w:rPr>
        <w:t>notice must be published once a week for two consecutive weeks in a newspaper regularly published or circulated in the county or counties where the district is proposed to be located with the last publication not later than the 30th day before the date on which the commission may act on the application</w:t>
      </w:r>
      <w:r w:rsidR="00031EB8">
        <w:rPr>
          <w:rFonts w:ascii="Times New Roman" w:hAnsi="Times New Roman" w:cs="Times New Roman"/>
          <w:sz w:val="24"/>
          <w:szCs w:val="24"/>
        </w:rPr>
        <w:t xml:space="preserve">.” Lastly, under </w:t>
      </w:r>
      <w:r w:rsidR="00031EB8">
        <w:rPr>
          <w:rFonts w:ascii="Times New Roman" w:eastAsia="Times New Roman" w:hAnsi="Times New Roman" w:cs="Times New Roman"/>
          <w:bCs/>
          <w:sz w:val="24"/>
          <w:szCs w:val="20"/>
        </w:rPr>
        <w:t xml:space="preserve">30 </w:t>
      </w:r>
      <w:r w:rsidR="00031EB8">
        <w:rPr>
          <w:rFonts w:ascii="Times New Roman" w:eastAsia="Times New Roman" w:hAnsi="Times New Roman" w:cs="Times New Roman"/>
          <w:sz w:val="24"/>
          <w:szCs w:val="20"/>
        </w:rPr>
        <w:t xml:space="preserve">TAC </w:t>
      </w:r>
      <w:r w:rsidR="00031EB8" w:rsidRPr="003E6B07">
        <w:rPr>
          <w:rFonts w:ascii="Times New Roman" w:hAnsi="Times New Roman" w:cs="Times New Roman"/>
          <w:sz w:val="24"/>
          <w:szCs w:val="24"/>
        </w:rPr>
        <w:t>§</w:t>
      </w:r>
      <w:r w:rsidR="00031EB8">
        <w:rPr>
          <w:rFonts w:ascii="Times New Roman" w:hAnsi="Times New Roman" w:cs="Times New Roman"/>
          <w:sz w:val="24"/>
          <w:szCs w:val="24"/>
        </w:rPr>
        <w:t xml:space="preserve"> </w:t>
      </w:r>
      <w:r w:rsidR="00031EB8" w:rsidRPr="00E850D2">
        <w:rPr>
          <w:rFonts w:ascii="Times New Roman" w:hAnsi="Times New Roman" w:cs="Times New Roman"/>
          <w:sz w:val="24"/>
          <w:szCs w:val="24"/>
        </w:rPr>
        <w:t>293.</w:t>
      </w:r>
      <w:r w:rsidR="00031EB8">
        <w:rPr>
          <w:rFonts w:ascii="Times New Roman" w:hAnsi="Times New Roman" w:cs="Times New Roman"/>
          <w:sz w:val="24"/>
          <w:szCs w:val="24"/>
        </w:rPr>
        <w:t>12(b)(2) “</w:t>
      </w:r>
      <w:r w:rsidR="00031EB8" w:rsidRPr="00031EB8">
        <w:rPr>
          <w:rFonts w:ascii="Times New Roman" w:hAnsi="Times New Roman" w:cs="Times New Roman"/>
          <w:sz w:val="24"/>
          <w:szCs w:val="24"/>
        </w:rPr>
        <w:t xml:space="preserve">not later than the 30th day before the date on which the commission </w:t>
      </w:r>
      <w:r w:rsidR="00031EB8" w:rsidRPr="00031EB8">
        <w:rPr>
          <w:rFonts w:ascii="Times New Roman" w:hAnsi="Times New Roman" w:cs="Times New Roman"/>
          <w:sz w:val="24"/>
          <w:szCs w:val="24"/>
        </w:rPr>
        <w:lastRenderedPageBreak/>
        <w:t>may act on the application, the notice must be posted on the bulletin board used for posting legal notices in each county in which all or part of the proposed district is to be located.</w:t>
      </w:r>
      <w:r w:rsidR="00031EB8">
        <w:rPr>
          <w:rFonts w:ascii="Times New Roman" w:hAnsi="Times New Roman" w:cs="Times New Roman"/>
          <w:sz w:val="24"/>
          <w:szCs w:val="24"/>
        </w:rPr>
        <w:t>”</w:t>
      </w:r>
    </w:p>
    <w:p w14:paraId="67E5E2D0" w14:textId="4BF95A17" w:rsidR="00031EB8" w:rsidRDefault="00031EB8" w:rsidP="00031EB8">
      <w:pPr>
        <w:keepNext/>
        <w:autoSpaceDN w:val="0"/>
        <w:spacing w:after="0" w:line="36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Notice was provided in a manner consistent with the applicable rules outlined above in Nevada SUD’s TCEQ entity conversion application that was approved on March 13, 2015.</w:t>
      </w:r>
      <w:r>
        <w:rPr>
          <w:rStyle w:val="FootnoteReference"/>
          <w:rFonts w:ascii="Times New Roman" w:hAnsi="Times New Roman" w:cs="Times New Roman"/>
          <w:sz w:val="24"/>
          <w:szCs w:val="24"/>
        </w:rPr>
        <w:footnoteReference w:id="2"/>
      </w:r>
      <w:r w:rsidR="008F0EB7">
        <w:rPr>
          <w:rFonts w:ascii="Times New Roman" w:hAnsi="Times New Roman" w:cs="Times New Roman"/>
          <w:sz w:val="24"/>
          <w:szCs w:val="24"/>
        </w:rPr>
        <w:t xml:space="preserve"> Staff argues that the notice provided in that TCEQ entity conversion docket is sufficient notice for all effected parties to have objected to the entity conversion for Nevada SUD. </w:t>
      </w:r>
      <w:r w:rsidR="001D35A2">
        <w:rPr>
          <w:rFonts w:ascii="Times New Roman" w:hAnsi="Times New Roman" w:cs="Times New Roman"/>
          <w:sz w:val="24"/>
          <w:szCs w:val="24"/>
        </w:rPr>
        <w:t>Any additional notice of the name change in this docket would only act to alert parties that the PUC is fulfilling the formality of changing the maps, tariffs, and certificates to reflect that Nevada SUD is now a special utility district as ordered by the TCEQ on March 13, 2015. Thus, the Commission</w:t>
      </w:r>
      <w:r w:rsidR="007E170C">
        <w:rPr>
          <w:rFonts w:ascii="Times New Roman" w:hAnsi="Times New Roman" w:cs="Times New Roman"/>
          <w:sz w:val="24"/>
          <w:szCs w:val="24"/>
        </w:rPr>
        <w:t xml:space="preserve"> need only </w:t>
      </w:r>
      <w:r w:rsidR="001D35A2">
        <w:rPr>
          <w:rFonts w:ascii="Times New Roman" w:hAnsi="Times New Roman" w:cs="Times New Roman"/>
          <w:sz w:val="24"/>
          <w:szCs w:val="24"/>
        </w:rPr>
        <w:t xml:space="preserve">update </w:t>
      </w:r>
      <w:r w:rsidR="007E170C">
        <w:rPr>
          <w:rFonts w:ascii="Times New Roman" w:hAnsi="Times New Roman" w:cs="Times New Roman"/>
          <w:sz w:val="24"/>
          <w:szCs w:val="24"/>
        </w:rPr>
        <w:t>Nevada SUD’s</w:t>
      </w:r>
      <w:r w:rsidR="001D35A2">
        <w:rPr>
          <w:rFonts w:ascii="Times New Roman" w:hAnsi="Times New Roman" w:cs="Times New Roman"/>
          <w:sz w:val="24"/>
          <w:szCs w:val="24"/>
        </w:rPr>
        <w:t xml:space="preserve"> maps, tariffs, and certificates </w:t>
      </w:r>
      <w:r w:rsidR="007E170C">
        <w:rPr>
          <w:rFonts w:ascii="Times New Roman" w:hAnsi="Times New Roman" w:cs="Times New Roman"/>
          <w:sz w:val="24"/>
          <w:szCs w:val="24"/>
        </w:rPr>
        <w:t xml:space="preserve">to reflect the approved </w:t>
      </w:r>
      <w:r w:rsidR="001D35A2">
        <w:rPr>
          <w:rFonts w:ascii="Times New Roman" w:hAnsi="Times New Roman" w:cs="Times New Roman"/>
          <w:sz w:val="24"/>
          <w:szCs w:val="24"/>
        </w:rPr>
        <w:t xml:space="preserve">conversion. Therefore, Staff </w:t>
      </w:r>
      <w:r w:rsidR="00E373CA">
        <w:rPr>
          <w:rFonts w:ascii="Times New Roman" w:hAnsi="Times New Roman" w:cs="Times New Roman"/>
          <w:sz w:val="24"/>
          <w:szCs w:val="24"/>
        </w:rPr>
        <w:t xml:space="preserve">recommends that the </w:t>
      </w:r>
      <w:r w:rsidR="001D35A2">
        <w:rPr>
          <w:rFonts w:ascii="Times New Roman" w:hAnsi="Times New Roman" w:cs="Times New Roman"/>
          <w:sz w:val="24"/>
          <w:szCs w:val="24"/>
        </w:rPr>
        <w:t xml:space="preserve">notice provided in Nevada SUD’s TCEQ entity conversion application was sufficient to alert </w:t>
      </w:r>
      <w:r w:rsidR="00EA44F9">
        <w:rPr>
          <w:rFonts w:ascii="Times New Roman" w:hAnsi="Times New Roman" w:cs="Times New Roman"/>
          <w:sz w:val="24"/>
          <w:szCs w:val="24"/>
        </w:rPr>
        <w:t xml:space="preserve">interested </w:t>
      </w:r>
      <w:r w:rsidR="001D35A2">
        <w:rPr>
          <w:rFonts w:ascii="Times New Roman" w:hAnsi="Times New Roman" w:cs="Times New Roman"/>
          <w:sz w:val="24"/>
          <w:szCs w:val="24"/>
        </w:rPr>
        <w:t>parties to the entity conversion and name change</w:t>
      </w:r>
      <w:r w:rsidR="00EA44F9">
        <w:rPr>
          <w:rFonts w:ascii="Times New Roman" w:hAnsi="Times New Roman" w:cs="Times New Roman"/>
          <w:sz w:val="24"/>
          <w:szCs w:val="24"/>
        </w:rPr>
        <w:t xml:space="preserve"> and no further notice should be required</w:t>
      </w:r>
      <w:r w:rsidR="001D35A2">
        <w:rPr>
          <w:rFonts w:ascii="Times New Roman" w:hAnsi="Times New Roman" w:cs="Times New Roman"/>
          <w:sz w:val="24"/>
          <w:szCs w:val="24"/>
        </w:rPr>
        <w:t xml:space="preserve">. </w:t>
      </w:r>
    </w:p>
    <w:p w14:paraId="6BAC1924" w14:textId="77777777" w:rsidR="00031EB8" w:rsidRPr="000E3C89" w:rsidRDefault="00031EB8" w:rsidP="00031EB8">
      <w:pPr>
        <w:keepNext/>
        <w:autoSpaceDN w:val="0"/>
        <w:spacing w:after="0" w:line="360" w:lineRule="auto"/>
        <w:ind w:firstLine="720"/>
        <w:contextualSpacing/>
        <w:jc w:val="both"/>
        <w:rPr>
          <w:rFonts w:ascii="Times New Roman" w:eastAsia="Times New Roman" w:hAnsi="Times New Roman" w:cs="Times New Roman"/>
          <w:bCs/>
          <w:sz w:val="24"/>
          <w:szCs w:val="20"/>
        </w:rPr>
      </w:pPr>
    </w:p>
    <w:p w14:paraId="7D490796" w14:textId="3CF3735F" w:rsidR="00C334EF" w:rsidRPr="00A05FFF" w:rsidRDefault="00C334EF" w:rsidP="00C334EF">
      <w:pPr>
        <w:keepNext/>
        <w:numPr>
          <w:ilvl w:val="0"/>
          <w:numId w:val="1"/>
        </w:numPr>
        <w:autoSpaceDN w:val="0"/>
        <w:spacing w:after="0" w:line="360" w:lineRule="auto"/>
        <w:contextualSpacing/>
        <w:jc w:val="center"/>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CONCLUSION</w:t>
      </w:r>
    </w:p>
    <w:p w14:paraId="75B50252" w14:textId="03A3BF4C" w:rsidR="00C334EF" w:rsidRPr="00A05FFF" w:rsidRDefault="00C334EF" w:rsidP="000E3C89">
      <w:pPr>
        <w:spacing w:after="0" w:line="360" w:lineRule="auto"/>
        <w:ind w:firstLine="720"/>
        <w:jc w:val="both"/>
        <w:rPr>
          <w:rFonts w:ascii="Times New Roman" w:eastAsia="Times New Roman" w:hAnsi="Times New Roman" w:cs="Times New Roman"/>
          <w:sz w:val="24"/>
          <w:szCs w:val="20"/>
        </w:rPr>
      </w:pPr>
      <w:r w:rsidRPr="00A05FFF">
        <w:rPr>
          <w:rFonts w:ascii="Times New Roman" w:eastAsia="Times New Roman" w:hAnsi="Times New Roman" w:cs="Times New Roman"/>
          <w:sz w:val="24"/>
          <w:szCs w:val="24"/>
        </w:rPr>
        <w:t xml:space="preserve">For the reasons stated above, Staff respectfully requests </w:t>
      </w:r>
      <w:r>
        <w:rPr>
          <w:rFonts w:ascii="Times New Roman" w:eastAsia="Times New Roman" w:hAnsi="Times New Roman" w:cs="Times New Roman"/>
          <w:sz w:val="24"/>
          <w:szCs w:val="24"/>
        </w:rPr>
        <w:t xml:space="preserve">that </w:t>
      </w:r>
      <w:r w:rsidR="001D35A2">
        <w:rPr>
          <w:rFonts w:ascii="Times New Roman" w:eastAsia="Times New Roman" w:hAnsi="Times New Roman" w:cs="Times New Roman"/>
          <w:sz w:val="24"/>
          <w:szCs w:val="24"/>
        </w:rPr>
        <w:t xml:space="preserve">the ALJ </w:t>
      </w:r>
      <w:r w:rsidR="00EA44F9">
        <w:rPr>
          <w:rFonts w:ascii="Times New Roman" w:eastAsia="Times New Roman" w:hAnsi="Times New Roman" w:cs="Times New Roman"/>
          <w:sz w:val="24"/>
          <w:szCs w:val="24"/>
        </w:rPr>
        <w:t xml:space="preserve">order </w:t>
      </w:r>
      <w:r w:rsidR="001D35A2">
        <w:rPr>
          <w:rFonts w:ascii="Times New Roman" w:eastAsia="Times New Roman" w:hAnsi="Times New Roman" w:cs="Times New Roman"/>
          <w:sz w:val="24"/>
          <w:szCs w:val="24"/>
        </w:rPr>
        <w:t xml:space="preserve">the processing of Nevada SUD’s name change for its TCEQ approved entity conversion </w:t>
      </w:r>
      <w:r w:rsidR="00EA44F9">
        <w:rPr>
          <w:rFonts w:ascii="Times New Roman" w:eastAsia="Times New Roman" w:hAnsi="Times New Roman" w:cs="Times New Roman"/>
          <w:sz w:val="24"/>
          <w:szCs w:val="24"/>
        </w:rPr>
        <w:t xml:space="preserve">in this proceeding </w:t>
      </w:r>
      <w:r w:rsidR="001D35A2">
        <w:rPr>
          <w:rFonts w:ascii="Times New Roman" w:eastAsia="Times New Roman" w:hAnsi="Times New Roman" w:cs="Times New Roman"/>
          <w:sz w:val="24"/>
          <w:szCs w:val="24"/>
        </w:rPr>
        <w:t>and that no additional notice is required.</w:t>
      </w:r>
      <w:r w:rsidR="003F7F25">
        <w:rPr>
          <w:rFonts w:ascii="Times New Roman" w:eastAsia="Times New Roman" w:hAnsi="Times New Roman" w:cs="Times New Roman"/>
          <w:sz w:val="24"/>
          <w:szCs w:val="24"/>
        </w:rPr>
        <w:t xml:space="preserve"> </w:t>
      </w:r>
      <w:r w:rsidR="001D35A2">
        <w:rPr>
          <w:rFonts w:ascii="Times New Roman" w:eastAsia="Times New Roman" w:hAnsi="Times New Roman" w:cs="Times New Roman"/>
          <w:sz w:val="24"/>
          <w:szCs w:val="24"/>
        </w:rPr>
        <w:t xml:space="preserve">Staff </w:t>
      </w:r>
      <w:r w:rsidR="003F7F25">
        <w:rPr>
          <w:rFonts w:ascii="Times New Roman" w:eastAsia="Times New Roman" w:hAnsi="Times New Roman" w:cs="Times New Roman"/>
          <w:sz w:val="24"/>
          <w:szCs w:val="24"/>
        </w:rPr>
        <w:t xml:space="preserve">also </w:t>
      </w:r>
      <w:r w:rsidR="001D35A2">
        <w:rPr>
          <w:rFonts w:ascii="Times New Roman" w:eastAsia="Times New Roman" w:hAnsi="Times New Roman" w:cs="Times New Roman"/>
          <w:sz w:val="24"/>
          <w:szCs w:val="24"/>
        </w:rPr>
        <w:t xml:space="preserve">recommends that the procedural schedule adopted in Order No. 12 remain in effect. </w:t>
      </w:r>
    </w:p>
    <w:p w14:paraId="3C26F54E" w14:textId="77777777" w:rsidR="00C334EF" w:rsidRDefault="00C334EF" w:rsidP="00C334EF">
      <w:pPr>
        <w:spacing w:after="0" w:line="240" w:lineRule="auto"/>
        <w:rPr>
          <w:rFonts w:ascii="Times New Roman" w:eastAsia="Times New Roman" w:hAnsi="Times New Roman" w:cs="Times New Roman"/>
          <w:sz w:val="24"/>
          <w:szCs w:val="20"/>
        </w:rPr>
      </w:pPr>
    </w:p>
    <w:p w14:paraId="19425CE3" w14:textId="77777777" w:rsidR="001D35A2" w:rsidRDefault="001D35A2" w:rsidP="00C334EF">
      <w:pPr>
        <w:spacing w:after="0" w:line="240" w:lineRule="auto"/>
        <w:rPr>
          <w:rFonts w:ascii="Times New Roman" w:eastAsia="Times New Roman" w:hAnsi="Times New Roman" w:cs="Times New Roman"/>
          <w:sz w:val="24"/>
          <w:szCs w:val="20"/>
        </w:rPr>
      </w:pPr>
    </w:p>
    <w:p w14:paraId="65F71111" w14:textId="77777777" w:rsidR="001D35A2" w:rsidRDefault="001D35A2" w:rsidP="00C334EF">
      <w:pPr>
        <w:spacing w:after="0" w:line="240" w:lineRule="auto"/>
        <w:rPr>
          <w:rFonts w:ascii="Times New Roman" w:eastAsia="Times New Roman" w:hAnsi="Times New Roman" w:cs="Times New Roman"/>
          <w:sz w:val="24"/>
          <w:szCs w:val="20"/>
        </w:rPr>
      </w:pPr>
    </w:p>
    <w:p w14:paraId="6323FAA4" w14:textId="77777777" w:rsidR="001D35A2" w:rsidRDefault="001D35A2" w:rsidP="00C334EF">
      <w:pPr>
        <w:spacing w:after="0" w:line="240" w:lineRule="auto"/>
        <w:rPr>
          <w:rFonts w:ascii="Times New Roman" w:eastAsia="Times New Roman" w:hAnsi="Times New Roman" w:cs="Times New Roman"/>
          <w:sz w:val="24"/>
          <w:szCs w:val="20"/>
        </w:rPr>
      </w:pPr>
    </w:p>
    <w:p w14:paraId="77E7A1A9" w14:textId="77777777" w:rsidR="001D35A2" w:rsidRDefault="001D35A2" w:rsidP="00C334EF">
      <w:pPr>
        <w:spacing w:after="0" w:line="240" w:lineRule="auto"/>
        <w:rPr>
          <w:rFonts w:ascii="Times New Roman" w:eastAsia="Times New Roman" w:hAnsi="Times New Roman" w:cs="Times New Roman"/>
          <w:sz w:val="24"/>
          <w:szCs w:val="20"/>
        </w:rPr>
      </w:pPr>
    </w:p>
    <w:p w14:paraId="6F91FE84" w14:textId="77777777" w:rsidR="001D35A2" w:rsidRDefault="001D35A2" w:rsidP="00C334EF">
      <w:pPr>
        <w:spacing w:after="0" w:line="240" w:lineRule="auto"/>
        <w:rPr>
          <w:rFonts w:ascii="Times New Roman" w:eastAsia="Times New Roman" w:hAnsi="Times New Roman" w:cs="Times New Roman"/>
          <w:sz w:val="24"/>
          <w:szCs w:val="20"/>
        </w:rPr>
      </w:pPr>
    </w:p>
    <w:p w14:paraId="333FFAD7" w14:textId="77777777" w:rsidR="001D35A2" w:rsidRDefault="001D35A2" w:rsidP="00C334EF">
      <w:pPr>
        <w:spacing w:after="0" w:line="240" w:lineRule="auto"/>
        <w:rPr>
          <w:rFonts w:ascii="Times New Roman" w:eastAsia="Times New Roman" w:hAnsi="Times New Roman" w:cs="Times New Roman"/>
          <w:sz w:val="24"/>
          <w:szCs w:val="20"/>
        </w:rPr>
      </w:pPr>
    </w:p>
    <w:p w14:paraId="28373FDB" w14:textId="77777777" w:rsidR="001D35A2" w:rsidRDefault="001D35A2" w:rsidP="00C334EF">
      <w:pPr>
        <w:spacing w:after="0" w:line="240" w:lineRule="auto"/>
        <w:rPr>
          <w:rFonts w:ascii="Times New Roman" w:eastAsia="Times New Roman" w:hAnsi="Times New Roman" w:cs="Times New Roman"/>
          <w:sz w:val="24"/>
          <w:szCs w:val="20"/>
        </w:rPr>
      </w:pPr>
    </w:p>
    <w:p w14:paraId="1FF0111E" w14:textId="77777777" w:rsidR="001D35A2" w:rsidRDefault="001D35A2" w:rsidP="00C334EF">
      <w:pPr>
        <w:spacing w:after="0" w:line="240" w:lineRule="auto"/>
        <w:rPr>
          <w:rFonts w:ascii="Times New Roman" w:eastAsia="Times New Roman" w:hAnsi="Times New Roman" w:cs="Times New Roman"/>
          <w:sz w:val="24"/>
          <w:szCs w:val="20"/>
        </w:rPr>
      </w:pPr>
    </w:p>
    <w:p w14:paraId="7E99C2FB" w14:textId="77777777" w:rsidR="001D35A2" w:rsidRDefault="001D35A2" w:rsidP="00C334EF">
      <w:pPr>
        <w:spacing w:after="0" w:line="240" w:lineRule="auto"/>
        <w:rPr>
          <w:rFonts w:ascii="Times New Roman" w:eastAsia="Times New Roman" w:hAnsi="Times New Roman" w:cs="Times New Roman"/>
          <w:sz w:val="24"/>
          <w:szCs w:val="20"/>
        </w:rPr>
      </w:pPr>
    </w:p>
    <w:p w14:paraId="2838E8B7" w14:textId="77777777" w:rsidR="001D35A2" w:rsidRDefault="001D35A2" w:rsidP="00C334EF">
      <w:pPr>
        <w:spacing w:after="0" w:line="240" w:lineRule="auto"/>
        <w:rPr>
          <w:rFonts w:ascii="Times New Roman" w:eastAsia="Times New Roman" w:hAnsi="Times New Roman" w:cs="Times New Roman"/>
          <w:sz w:val="24"/>
          <w:szCs w:val="20"/>
        </w:rPr>
      </w:pPr>
    </w:p>
    <w:p w14:paraId="234E2EE0" w14:textId="77777777" w:rsidR="001D35A2" w:rsidRDefault="001D35A2" w:rsidP="00C334EF">
      <w:pPr>
        <w:spacing w:after="0" w:line="240" w:lineRule="auto"/>
        <w:rPr>
          <w:rFonts w:ascii="Times New Roman" w:eastAsia="Times New Roman" w:hAnsi="Times New Roman" w:cs="Times New Roman"/>
          <w:sz w:val="24"/>
          <w:szCs w:val="20"/>
        </w:rPr>
      </w:pPr>
    </w:p>
    <w:p w14:paraId="552C039B" w14:textId="77777777" w:rsidR="003F7F25" w:rsidRDefault="003F7F25" w:rsidP="00C334EF">
      <w:pPr>
        <w:spacing w:after="0" w:line="240" w:lineRule="auto"/>
        <w:rPr>
          <w:rFonts w:ascii="Times New Roman" w:eastAsia="Times New Roman" w:hAnsi="Times New Roman" w:cs="Times New Roman"/>
          <w:sz w:val="24"/>
          <w:szCs w:val="20"/>
        </w:rPr>
      </w:pPr>
    </w:p>
    <w:p w14:paraId="6FBF81E2" w14:textId="77777777" w:rsidR="003F7F25" w:rsidRDefault="003F7F25" w:rsidP="00C334EF">
      <w:pPr>
        <w:spacing w:after="0" w:line="240" w:lineRule="auto"/>
        <w:rPr>
          <w:rFonts w:ascii="Times New Roman" w:eastAsia="Times New Roman" w:hAnsi="Times New Roman" w:cs="Times New Roman"/>
          <w:sz w:val="24"/>
          <w:szCs w:val="20"/>
        </w:rPr>
      </w:pPr>
    </w:p>
    <w:p w14:paraId="4E33B684" w14:textId="77777777" w:rsidR="003F7F25" w:rsidRDefault="003F7F25" w:rsidP="00C334EF">
      <w:pPr>
        <w:spacing w:after="0" w:line="240" w:lineRule="auto"/>
        <w:rPr>
          <w:rFonts w:ascii="Times New Roman" w:eastAsia="Times New Roman" w:hAnsi="Times New Roman" w:cs="Times New Roman"/>
          <w:sz w:val="24"/>
          <w:szCs w:val="20"/>
        </w:rPr>
      </w:pPr>
    </w:p>
    <w:p w14:paraId="2A0F1580" w14:textId="77777777" w:rsidR="003F7F25" w:rsidRDefault="003F7F25" w:rsidP="00C334EF">
      <w:pPr>
        <w:spacing w:after="0" w:line="240" w:lineRule="auto"/>
        <w:rPr>
          <w:rFonts w:ascii="Times New Roman" w:eastAsia="Times New Roman" w:hAnsi="Times New Roman" w:cs="Times New Roman"/>
          <w:sz w:val="24"/>
          <w:szCs w:val="20"/>
        </w:rPr>
      </w:pPr>
    </w:p>
    <w:p w14:paraId="3D9D925E" w14:textId="6C801FA5" w:rsidR="00C334EF" w:rsidRPr="00354E52" w:rsidRDefault="00C334EF" w:rsidP="00C334EF">
      <w:pPr>
        <w:spacing w:after="0" w:line="240" w:lineRule="auto"/>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lastRenderedPageBreak/>
        <w:t xml:space="preserve">Dated: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16133F">
        <w:rPr>
          <w:rFonts w:ascii="Times New Roman" w:eastAsia="Times New Roman" w:hAnsi="Times New Roman" w:cs="Times New Roman"/>
          <w:noProof/>
          <w:sz w:val="24"/>
          <w:szCs w:val="24"/>
        </w:rPr>
        <w:t>April 16, 2021</w:t>
      </w:r>
      <w:r w:rsidRPr="00354E52">
        <w:rPr>
          <w:rFonts w:ascii="Times New Roman" w:eastAsia="Times New Roman" w:hAnsi="Times New Roman" w:cs="Times New Roman"/>
          <w:sz w:val="24"/>
          <w:szCs w:val="24"/>
        </w:rPr>
        <w:fldChar w:fldCharType="end"/>
      </w:r>
    </w:p>
    <w:p w14:paraId="6105029A" w14:textId="77777777" w:rsidR="00C334EF" w:rsidRPr="00354E52" w:rsidRDefault="00C334EF" w:rsidP="00C334EF">
      <w:pPr>
        <w:spacing w:after="0" w:line="240" w:lineRule="auto"/>
        <w:rPr>
          <w:rFonts w:ascii="Times New Roman" w:eastAsia="Times New Roman" w:hAnsi="Times New Roman" w:cs="Times New Roman"/>
          <w:sz w:val="24"/>
          <w:szCs w:val="20"/>
        </w:rPr>
      </w:pPr>
    </w:p>
    <w:p w14:paraId="1841C1B6" w14:textId="77777777" w:rsidR="00C334EF" w:rsidRPr="00354E52" w:rsidRDefault="00C334EF" w:rsidP="00C334EF">
      <w:pPr>
        <w:spacing w:after="0" w:line="240" w:lineRule="auto"/>
        <w:rPr>
          <w:rFonts w:ascii="Times New Roman" w:eastAsia="Times New Roman" w:hAnsi="Times New Roman" w:cs="Times New Roman"/>
          <w:sz w:val="24"/>
          <w:szCs w:val="20"/>
        </w:rPr>
      </w:pPr>
    </w:p>
    <w:p w14:paraId="2DB12EF2" w14:textId="77777777" w:rsidR="00C334EF" w:rsidRPr="00354E52" w:rsidRDefault="00C334EF" w:rsidP="00C334EF">
      <w:pPr>
        <w:spacing w:after="0" w:line="48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Respectfully submitted,</w:t>
      </w:r>
    </w:p>
    <w:p w14:paraId="0162CCDD" w14:textId="77777777" w:rsidR="00C334EF" w:rsidRPr="00354E52" w:rsidRDefault="00C334EF" w:rsidP="00C334EF">
      <w:pPr>
        <w:spacing w:after="0" w:line="240" w:lineRule="auto"/>
        <w:ind w:left="4320"/>
        <w:contextualSpacing/>
        <w:jc w:val="both"/>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PUBLIC UTILITY COMMISSION OF TEXAS LEGAL DIVISION</w:t>
      </w:r>
    </w:p>
    <w:p w14:paraId="4659F0AF" w14:textId="77777777" w:rsidR="00C334EF" w:rsidRPr="00354E52" w:rsidRDefault="00C334EF" w:rsidP="00C334EF">
      <w:pPr>
        <w:spacing w:after="0" w:line="240" w:lineRule="auto"/>
        <w:ind w:left="3600"/>
        <w:jc w:val="both"/>
        <w:rPr>
          <w:rFonts w:ascii="Times New Roman" w:eastAsia="Times New Roman" w:hAnsi="Times New Roman" w:cs="Times New Roman"/>
          <w:sz w:val="24"/>
          <w:szCs w:val="20"/>
        </w:rPr>
      </w:pPr>
    </w:p>
    <w:p w14:paraId="03733E79" w14:textId="77777777" w:rsidR="00C334EF" w:rsidRPr="00354E52" w:rsidRDefault="00C334EF" w:rsidP="00C334EF">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Rachelle Nicolette Robles</w:t>
      </w:r>
    </w:p>
    <w:p w14:paraId="77305F2D" w14:textId="77777777" w:rsidR="00C334EF" w:rsidRPr="00354E52" w:rsidRDefault="00C334EF" w:rsidP="00C334EF">
      <w:pPr>
        <w:spacing w:after="0" w:line="240" w:lineRule="auto"/>
        <w:ind w:left="4320"/>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Division Director </w:t>
      </w:r>
    </w:p>
    <w:p w14:paraId="15C03C88" w14:textId="77777777" w:rsidR="00C334EF" w:rsidRPr="00354E52" w:rsidRDefault="00C334EF" w:rsidP="00C334EF">
      <w:pPr>
        <w:spacing w:after="0" w:line="240" w:lineRule="auto"/>
        <w:ind w:left="4320"/>
        <w:jc w:val="both"/>
        <w:rPr>
          <w:rFonts w:ascii="Times New Roman" w:eastAsia="Times New Roman" w:hAnsi="Times New Roman" w:cs="Times New Roman"/>
          <w:sz w:val="24"/>
          <w:szCs w:val="20"/>
        </w:rPr>
      </w:pPr>
    </w:p>
    <w:p w14:paraId="0ADEF890" w14:textId="77777777" w:rsidR="00C334EF" w:rsidRPr="00354E52" w:rsidRDefault="00C334EF" w:rsidP="00C334EF">
      <w:pPr>
        <w:spacing w:after="0" w:line="240" w:lineRule="auto"/>
        <w:ind w:left="4320"/>
        <w:jc w:val="both"/>
        <w:rPr>
          <w:rFonts w:ascii="Times New Roman" w:eastAsia="Times New Roman" w:hAnsi="Times New Roman" w:cs="Times New Roman"/>
          <w:sz w:val="24"/>
          <w:szCs w:val="20"/>
        </w:rPr>
      </w:pPr>
      <w:bookmarkStart w:id="2" w:name="_Hlk23239586"/>
      <w:r w:rsidRPr="00354E52">
        <w:rPr>
          <w:rFonts w:ascii="Times New Roman" w:eastAsia="Times New Roman" w:hAnsi="Times New Roman" w:cs="Times New Roman"/>
          <w:sz w:val="24"/>
          <w:szCs w:val="20"/>
        </w:rPr>
        <w:t>Heath D. Armstrong</w:t>
      </w:r>
      <w:bookmarkEnd w:id="2"/>
      <w:r w:rsidRPr="00354E52">
        <w:rPr>
          <w:rFonts w:ascii="Times New Roman" w:eastAsia="Times New Roman" w:hAnsi="Times New Roman" w:cs="Times New Roman"/>
          <w:sz w:val="24"/>
          <w:szCs w:val="20"/>
        </w:rPr>
        <w:t xml:space="preserve"> </w:t>
      </w:r>
    </w:p>
    <w:p w14:paraId="26F266E9" w14:textId="77777777" w:rsidR="00C334EF" w:rsidRPr="00354E52" w:rsidRDefault="00C334EF" w:rsidP="00C334EF">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Managing Attorney</w:t>
      </w:r>
    </w:p>
    <w:p w14:paraId="3C62ADC5" w14:textId="77777777" w:rsidR="00C334EF" w:rsidRPr="00354E52" w:rsidRDefault="00C334EF" w:rsidP="00C334EF">
      <w:pPr>
        <w:spacing w:after="0" w:line="240" w:lineRule="auto"/>
        <w:rPr>
          <w:rFonts w:ascii="Times New Roman" w:eastAsia="Times New Roman" w:hAnsi="Times New Roman" w:cs="Times New Roman"/>
          <w:sz w:val="24"/>
          <w:szCs w:val="20"/>
        </w:rPr>
      </w:pPr>
    </w:p>
    <w:p w14:paraId="30B13017"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p>
    <w:p w14:paraId="188EADD0" w14:textId="285E20DF" w:rsidR="00C334EF" w:rsidRPr="00354E52" w:rsidRDefault="00C334EF" w:rsidP="00C334EF">
      <w:pPr>
        <w:spacing w:after="0" w:line="240" w:lineRule="auto"/>
        <w:jc w:val="both"/>
        <w:rPr>
          <w:rFonts w:ascii="Times New Roman" w:eastAsia="Times New Roman" w:hAnsi="Times New Roman" w:cs="Times New Roman"/>
          <w:sz w:val="24"/>
          <w:szCs w:val="20"/>
          <w:u w:val="single"/>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0016133F">
        <w:rPr>
          <w:rFonts w:ascii="Times New Roman" w:eastAsia="Times New Roman" w:hAnsi="Times New Roman" w:cs="Times New Roman"/>
          <w:sz w:val="24"/>
          <w:szCs w:val="20"/>
          <w:u w:val="single"/>
        </w:rPr>
        <w:t>/s/ Robert Dakota Parish__</w:t>
      </w:r>
    </w:p>
    <w:p w14:paraId="34AEB4AB"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 Dakota Parish</w:t>
      </w:r>
    </w:p>
    <w:p w14:paraId="2D55CF20" w14:textId="77777777" w:rsidR="00C334EF" w:rsidRPr="00354E52" w:rsidRDefault="00C334EF" w:rsidP="00C334EF">
      <w:pPr>
        <w:spacing w:after="0" w:line="240" w:lineRule="auto"/>
        <w:ind w:left="3600" w:firstLine="7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State Bar No. 24116875</w:t>
      </w:r>
    </w:p>
    <w:p w14:paraId="4FF7D1A5"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1701 N. Congress Avenue</w:t>
      </w:r>
    </w:p>
    <w:p w14:paraId="71328AAB"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P.O. Box 13326</w:t>
      </w:r>
    </w:p>
    <w:p w14:paraId="3AFEB942"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Austin, Texas 78711-3326</w:t>
      </w:r>
    </w:p>
    <w:p w14:paraId="5915EB9F"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936-7442</w:t>
      </w:r>
    </w:p>
    <w:p w14:paraId="38FD1A03" w14:textId="77777777" w:rsidR="00C334EF" w:rsidRPr="00354E52" w:rsidRDefault="00C334EF" w:rsidP="00C334EF">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936-7268 (facsimile)</w:t>
      </w:r>
    </w:p>
    <w:p w14:paraId="60DBCA77" w14:textId="77777777" w:rsidR="00C334EF" w:rsidRDefault="00C334EF" w:rsidP="00C334EF">
      <w:pPr>
        <w:spacing w:after="0" w:line="240" w:lineRule="auto"/>
        <w:jc w:val="both"/>
        <w:rPr>
          <w:rFonts w:ascii="Times New Roman" w:eastAsia="Times New Roman" w:hAnsi="Times New Roman" w:cs="Times New Roman"/>
          <w:b/>
          <w:caps/>
          <w:sz w:val="24"/>
          <w:szCs w:val="24"/>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Robert.Parish@puc.texas.gov</w:t>
      </w:r>
    </w:p>
    <w:p w14:paraId="6AF32E37" w14:textId="77777777" w:rsidR="00C334EF" w:rsidRDefault="00C334EF" w:rsidP="00C334EF">
      <w:pPr>
        <w:spacing w:after="0" w:line="240" w:lineRule="auto"/>
        <w:jc w:val="center"/>
        <w:rPr>
          <w:rFonts w:ascii="Times New Roman" w:eastAsia="Times New Roman" w:hAnsi="Times New Roman" w:cs="Times New Roman"/>
          <w:b/>
          <w:caps/>
          <w:sz w:val="24"/>
          <w:szCs w:val="24"/>
        </w:rPr>
      </w:pPr>
    </w:p>
    <w:p w14:paraId="0E40DEE8" w14:textId="77777777" w:rsidR="00C334EF" w:rsidRDefault="00C334EF" w:rsidP="00C334EF">
      <w:pPr>
        <w:spacing w:after="0" w:line="240" w:lineRule="auto"/>
        <w:jc w:val="center"/>
        <w:rPr>
          <w:rFonts w:ascii="Times New Roman" w:eastAsia="Times New Roman" w:hAnsi="Times New Roman" w:cs="Times New Roman"/>
          <w:b/>
          <w:caps/>
          <w:sz w:val="24"/>
          <w:szCs w:val="24"/>
        </w:rPr>
      </w:pPr>
    </w:p>
    <w:p w14:paraId="69B4258C" w14:textId="77777777" w:rsidR="00C334EF" w:rsidRDefault="00C334EF" w:rsidP="00C334EF">
      <w:pPr>
        <w:spacing w:after="0" w:line="240" w:lineRule="auto"/>
        <w:jc w:val="center"/>
        <w:rPr>
          <w:rFonts w:ascii="Times New Roman" w:eastAsia="Times New Roman" w:hAnsi="Times New Roman" w:cs="Times New Roman"/>
          <w:b/>
          <w:caps/>
          <w:sz w:val="24"/>
          <w:szCs w:val="24"/>
        </w:rPr>
      </w:pPr>
    </w:p>
    <w:p w14:paraId="3F115FB3" w14:textId="77777777" w:rsidR="00C334EF" w:rsidRPr="00354E52" w:rsidRDefault="00C334EF" w:rsidP="00C334EF">
      <w:pPr>
        <w:spacing w:after="0" w:line="240" w:lineRule="auto"/>
        <w:jc w:val="center"/>
        <w:rPr>
          <w:rFonts w:ascii="Times New Roman" w:eastAsia="Times New Roman" w:hAnsi="Times New Roman" w:cs="Times New Roman"/>
          <w:b/>
          <w:caps/>
          <w:sz w:val="24"/>
          <w:szCs w:val="24"/>
        </w:rPr>
      </w:pPr>
      <w:r w:rsidRPr="00354E52">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189128D3" w14:textId="77777777" w:rsidR="00C334EF" w:rsidRPr="00354E52" w:rsidRDefault="00C334EF" w:rsidP="00C334EF">
      <w:pPr>
        <w:spacing w:after="0" w:line="240" w:lineRule="auto"/>
        <w:jc w:val="center"/>
        <w:rPr>
          <w:rFonts w:ascii="Times New Roman" w:eastAsia="Times New Roman" w:hAnsi="Times New Roman" w:cs="Times New Roman"/>
          <w:caps/>
          <w:sz w:val="24"/>
          <w:szCs w:val="24"/>
        </w:rPr>
      </w:pPr>
    </w:p>
    <w:p w14:paraId="13D7F57B" w14:textId="77777777" w:rsidR="00C334EF" w:rsidRPr="00354E52" w:rsidRDefault="00C334EF" w:rsidP="00C334EF">
      <w:pPr>
        <w:spacing w:after="0" w:line="240" w:lineRule="auto"/>
        <w:jc w:val="center"/>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CERTIFICATE OF SERVICE</w:t>
      </w:r>
    </w:p>
    <w:p w14:paraId="5EF12674" w14:textId="77777777" w:rsidR="00C334EF" w:rsidRPr="00354E52" w:rsidRDefault="00C334EF" w:rsidP="00C334EF">
      <w:pPr>
        <w:spacing w:after="0" w:line="240" w:lineRule="auto"/>
        <w:jc w:val="center"/>
        <w:rPr>
          <w:rFonts w:ascii="Times New Roman" w:eastAsia="Times New Roman" w:hAnsi="Times New Roman" w:cs="Times New Roman"/>
          <w:b/>
          <w:sz w:val="24"/>
          <w:szCs w:val="24"/>
        </w:rPr>
      </w:pPr>
    </w:p>
    <w:p w14:paraId="645D27E0" w14:textId="17C5CB1B" w:rsidR="00C334EF" w:rsidRPr="00354E52" w:rsidRDefault="00C334EF" w:rsidP="00C334EF">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54E52">
        <w:rPr>
          <w:rFonts w:ascii="Times New Roman" w:eastAsia="Times New Roman" w:hAnsi="Times New Roman" w:cs="Times New Roman"/>
          <w:sz w:val="24"/>
          <w:szCs w:val="24"/>
        </w:rPr>
        <w:t>I</w:t>
      </w:r>
      <w:r w:rsidRPr="00354E52">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54E52">
        <w:rPr>
          <w:rFonts w:ascii="Times New Roman" w:eastAsia="Times New Roman" w:hAnsi="Times New Roman" w:cs="Times New Roman"/>
          <w:sz w:val="24"/>
          <w:szCs w:val="24"/>
        </w:rPr>
        <w:t xml:space="preserve">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16133F">
        <w:rPr>
          <w:rFonts w:ascii="Times New Roman" w:eastAsia="Times New Roman" w:hAnsi="Times New Roman" w:cs="Times New Roman"/>
          <w:noProof/>
          <w:sz w:val="24"/>
          <w:szCs w:val="24"/>
        </w:rPr>
        <w:t>April 16, 2021</w:t>
      </w:r>
      <w:r w:rsidRPr="00354E52">
        <w:rPr>
          <w:rFonts w:ascii="Times New Roman" w:eastAsia="Times New Roman" w:hAnsi="Times New Roman" w:cs="Times New Roman"/>
          <w:sz w:val="24"/>
          <w:szCs w:val="24"/>
        </w:rPr>
        <w:fldChar w:fldCharType="end"/>
      </w:r>
      <w:r w:rsidRPr="00354E52">
        <w:rPr>
          <w:rFonts w:ascii="Times New Roman" w:eastAsia="Times New Roman" w:hAnsi="Times New Roman" w:cs="Times New Roman"/>
          <w:color w:val="0D0D0D"/>
          <w:sz w:val="24"/>
          <w:szCs w:val="24"/>
        </w:rPr>
        <w:t>, in accordance with the Order Suspending Rules, issued in Project No. 50664.</w:t>
      </w:r>
    </w:p>
    <w:p w14:paraId="64CFA041" w14:textId="77777777" w:rsidR="00C334EF" w:rsidRPr="00354E52" w:rsidRDefault="00C334EF" w:rsidP="00C334EF">
      <w:pPr>
        <w:keepNext/>
        <w:spacing w:after="0" w:line="240" w:lineRule="auto"/>
        <w:ind w:firstLine="720"/>
        <w:jc w:val="both"/>
        <w:rPr>
          <w:rFonts w:ascii="Times New Roman" w:eastAsia="Times New Roman" w:hAnsi="Times New Roman" w:cs="Times New Roman"/>
          <w:sz w:val="24"/>
          <w:szCs w:val="24"/>
        </w:rPr>
      </w:pPr>
    </w:p>
    <w:p w14:paraId="0C43BC53" w14:textId="350EDB1C" w:rsidR="00C334EF" w:rsidRPr="00354E52" w:rsidRDefault="0016133F" w:rsidP="00C334E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D9C8669" w14:textId="77777777" w:rsidR="00C334EF" w:rsidRDefault="00C334EF" w:rsidP="00C334EF">
      <w:pPr>
        <w:spacing w:after="0" w:line="240" w:lineRule="auto"/>
        <w:ind w:left="4320"/>
        <w:jc w:val="both"/>
        <w:rPr>
          <w:rFonts w:ascii="Times New Roman" w:eastAsia="Times New Roman" w:hAnsi="Times New Roman" w:cs="Times New Roman"/>
          <w:sz w:val="24"/>
          <w:szCs w:val="24"/>
        </w:rPr>
      </w:pPr>
      <w:r w:rsidRPr="00354E52">
        <w:rPr>
          <w:rFonts w:ascii="Times New Roman" w:eastAsia="Times New Roman" w:hAnsi="Times New Roman" w:cs="Times New Roman"/>
          <w:sz w:val="24"/>
          <w:szCs w:val="20"/>
        </w:rPr>
        <w:t>Robert Dakota Parish</w:t>
      </w:r>
    </w:p>
    <w:p w14:paraId="18DD1DD9" w14:textId="77777777" w:rsidR="00C334EF" w:rsidRDefault="00C334EF" w:rsidP="00C334EF"/>
    <w:p w14:paraId="75CECE0B" w14:textId="77777777" w:rsidR="00C334EF" w:rsidRDefault="00C334EF" w:rsidP="00C334EF"/>
    <w:p w14:paraId="6CA83C61"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6CB2F" w14:textId="77777777" w:rsidR="00C334EF" w:rsidRDefault="00C334EF" w:rsidP="00C334EF">
      <w:pPr>
        <w:spacing w:after="0" w:line="240" w:lineRule="auto"/>
      </w:pPr>
      <w:r>
        <w:separator/>
      </w:r>
    </w:p>
  </w:endnote>
  <w:endnote w:type="continuationSeparator" w:id="0">
    <w:p w14:paraId="01EA76E1" w14:textId="77777777" w:rsidR="00C334EF" w:rsidRDefault="00C334EF" w:rsidP="00C33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26B05" w14:textId="77777777" w:rsidR="00C334EF" w:rsidRDefault="00C334EF" w:rsidP="00C334EF">
      <w:pPr>
        <w:spacing w:after="0" w:line="240" w:lineRule="auto"/>
      </w:pPr>
      <w:r>
        <w:separator/>
      </w:r>
    </w:p>
  </w:footnote>
  <w:footnote w:type="continuationSeparator" w:id="0">
    <w:p w14:paraId="308A8C57" w14:textId="77777777" w:rsidR="00C334EF" w:rsidRDefault="00C334EF" w:rsidP="00C334EF">
      <w:pPr>
        <w:spacing w:after="0" w:line="240" w:lineRule="auto"/>
      </w:pPr>
      <w:r>
        <w:continuationSeparator/>
      </w:r>
    </w:p>
  </w:footnote>
  <w:footnote w:id="1">
    <w:p w14:paraId="6F55EE3F" w14:textId="7644763B" w:rsidR="00C334EF" w:rsidRPr="00C334EF" w:rsidRDefault="00C334EF" w:rsidP="00C334EF">
      <w:pPr>
        <w:pStyle w:val="FootnoteText"/>
        <w:ind w:firstLine="720"/>
        <w:rPr>
          <w:rFonts w:ascii="Times New Roman" w:hAnsi="Times New Roman" w:cs="Times New Roman"/>
        </w:rPr>
      </w:pPr>
      <w:r w:rsidRPr="00C334EF">
        <w:rPr>
          <w:rStyle w:val="FootnoteReference"/>
        </w:rPr>
        <w:footnoteRef/>
      </w:r>
      <w:r w:rsidRPr="00C334EF">
        <w:t xml:space="preserve"> </w:t>
      </w:r>
      <w:r w:rsidRPr="00C334EF">
        <w:rPr>
          <w:rFonts w:ascii="Times New Roman" w:hAnsi="Times New Roman" w:cs="Times New Roman"/>
          <w:i/>
          <w:iCs/>
        </w:rPr>
        <w:t>SUD Conversion Project to Change Name for CCN No. 12175</w:t>
      </w:r>
      <w:r>
        <w:rPr>
          <w:rFonts w:ascii="Times New Roman" w:hAnsi="Times New Roman" w:cs="Times New Roman"/>
        </w:rPr>
        <w:t>, Docket No. 49548, Application (May 14, 2019).</w:t>
      </w:r>
    </w:p>
  </w:footnote>
  <w:footnote w:id="2">
    <w:p w14:paraId="74873657" w14:textId="74DB4B6F" w:rsidR="00031EB8" w:rsidRPr="00031EB8" w:rsidRDefault="00031EB8" w:rsidP="00031EB8">
      <w:pPr>
        <w:pStyle w:val="FootnoteText"/>
        <w:ind w:firstLine="720"/>
        <w:rPr>
          <w:rFonts w:ascii="Times New Roman" w:hAnsi="Times New Roman" w:cs="Times New Roman"/>
        </w:rPr>
      </w:pPr>
      <w:r>
        <w:rPr>
          <w:rStyle w:val="FootnoteReference"/>
        </w:rPr>
        <w:footnoteRef/>
      </w:r>
      <w:r>
        <w:t xml:space="preserve"> </w:t>
      </w:r>
      <w:r>
        <w:rPr>
          <w:rFonts w:ascii="Times New Roman" w:hAnsi="Times New Roman" w:cs="Times New Roman"/>
        </w:rPr>
        <w:t xml:space="preserve">Response to Robert Parish at 2 (Mar. 2, 2021).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1A7C6B"/>
    <w:multiLevelType w:val="hybridMultilevel"/>
    <w:tmpl w:val="8E32AC0A"/>
    <w:lvl w:ilvl="0" w:tplc="6DCA58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EF"/>
    <w:rsid w:val="00001A5B"/>
    <w:rsid w:val="00031EB8"/>
    <w:rsid w:val="000600F6"/>
    <w:rsid w:val="00067ED3"/>
    <w:rsid w:val="000D1115"/>
    <w:rsid w:val="000E3C89"/>
    <w:rsid w:val="000E4B30"/>
    <w:rsid w:val="000F77E1"/>
    <w:rsid w:val="0016133F"/>
    <w:rsid w:val="001677DE"/>
    <w:rsid w:val="001D35A2"/>
    <w:rsid w:val="0020653B"/>
    <w:rsid w:val="00212887"/>
    <w:rsid w:val="00245166"/>
    <w:rsid w:val="00287A47"/>
    <w:rsid w:val="002B2022"/>
    <w:rsid w:val="002B74EA"/>
    <w:rsid w:val="002B7EB2"/>
    <w:rsid w:val="002F6147"/>
    <w:rsid w:val="00341EBB"/>
    <w:rsid w:val="003630BF"/>
    <w:rsid w:val="003C56DA"/>
    <w:rsid w:val="003E3A30"/>
    <w:rsid w:val="003F508A"/>
    <w:rsid w:val="003F7F25"/>
    <w:rsid w:val="00454E18"/>
    <w:rsid w:val="004736E8"/>
    <w:rsid w:val="0049338D"/>
    <w:rsid w:val="004E0304"/>
    <w:rsid w:val="00503096"/>
    <w:rsid w:val="00517784"/>
    <w:rsid w:val="005B6639"/>
    <w:rsid w:val="005D44CE"/>
    <w:rsid w:val="006033D2"/>
    <w:rsid w:val="00671E8D"/>
    <w:rsid w:val="006738D1"/>
    <w:rsid w:val="00674E0E"/>
    <w:rsid w:val="006C2A0B"/>
    <w:rsid w:val="00727265"/>
    <w:rsid w:val="007B6A0F"/>
    <w:rsid w:val="007D68A3"/>
    <w:rsid w:val="007E170C"/>
    <w:rsid w:val="007E3A96"/>
    <w:rsid w:val="008549F3"/>
    <w:rsid w:val="008A02D3"/>
    <w:rsid w:val="008D1B7F"/>
    <w:rsid w:val="008E5591"/>
    <w:rsid w:val="008F0EB7"/>
    <w:rsid w:val="00954E8F"/>
    <w:rsid w:val="009603B2"/>
    <w:rsid w:val="009623CB"/>
    <w:rsid w:val="009F0EE9"/>
    <w:rsid w:val="00A56413"/>
    <w:rsid w:val="00AB576A"/>
    <w:rsid w:val="00B03BFA"/>
    <w:rsid w:val="00B6775F"/>
    <w:rsid w:val="00B71959"/>
    <w:rsid w:val="00BB0757"/>
    <w:rsid w:val="00BD311E"/>
    <w:rsid w:val="00BE1C4E"/>
    <w:rsid w:val="00C334EF"/>
    <w:rsid w:val="00C615C6"/>
    <w:rsid w:val="00CD0EB5"/>
    <w:rsid w:val="00CF79A4"/>
    <w:rsid w:val="00D1427D"/>
    <w:rsid w:val="00D3034E"/>
    <w:rsid w:val="00D67A6E"/>
    <w:rsid w:val="00D764F1"/>
    <w:rsid w:val="00D919A7"/>
    <w:rsid w:val="00DA5CF6"/>
    <w:rsid w:val="00DB2D08"/>
    <w:rsid w:val="00DD1069"/>
    <w:rsid w:val="00E373CA"/>
    <w:rsid w:val="00E95477"/>
    <w:rsid w:val="00EA44F9"/>
    <w:rsid w:val="00F03BB5"/>
    <w:rsid w:val="00F17459"/>
    <w:rsid w:val="00F351CA"/>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2CC22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334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34EF"/>
    <w:rPr>
      <w:sz w:val="20"/>
      <w:szCs w:val="20"/>
    </w:rPr>
  </w:style>
  <w:style w:type="character" w:styleId="FootnoteReference">
    <w:name w:val="footnote reference"/>
    <w:basedOn w:val="DefaultParagraphFont"/>
    <w:uiPriority w:val="99"/>
    <w:semiHidden/>
    <w:unhideWhenUsed/>
    <w:rsid w:val="00C334EF"/>
    <w:rPr>
      <w:vertAlign w:val="superscript"/>
    </w:rPr>
  </w:style>
  <w:style w:type="paragraph" w:styleId="BalloonText">
    <w:name w:val="Balloon Text"/>
    <w:basedOn w:val="Normal"/>
    <w:link w:val="BalloonTextChar"/>
    <w:uiPriority w:val="99"/>
    <w:semiHidden/>
    <w:unhideWhenUsed/>
    <w:rsid w:val="00C334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4EF"/>
    <w:rPr>
      <w:rFonts w:ascii="Segoe UI" w:hAnsi="Segoe UI" w:cs="Segoe UI"/>
      <w:sz w:val="18"/>
      <w:szCs w:val="18"/>
    </w:rPr>
  </w:style>
  <w:style w:type="paragraph" w:styleId="Header">
    <w:name w:val="header"/>
    <w:basedOn w:val="Normal"/>
    <w:link w:val="HeaderChar"/>
    <w:uiPriority w:val="99"/>
    <w:unhideWhenUsed/>
    <w:rsid w:val="00CF79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9A4"/>
  </w:style>
  <w:style w:type="paragraph" w:styleId="Footer">
    <w:name w:val="footer"/>
    <w:basedOn w:val="Normal"/>
    <w:link w:val="FooterChar"/>
    <w:uiPriority w:val="99"/>
    <w:unhideWhenUsed/>
    <w:rsid w:val="00CF7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D39E7-423B-4DF9-BC11-92DB8ABE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1001</Words>
  <Characters>5712</Characters>
  <Application>Microsoft Office Word</Application>
  <DocSecurity>0</DocSecurity>
  <Lines>47</Lines>
  <Paragraphs>13</Paragraphs>
  <ScaleCrop>false</ScaleCrop>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2021-04-16T14:25:00Z</dcterms:created>
  <dcterms:modified xsi:type="dcterms:W3CDTF">2021-04-16T14:25:00Z</dcterms:modified>
</cp:coreProperties>
</file>